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A4C4" w14:textId="7CD75F06" w:rsidR="00867EBA" w:rsidRPr="001F3C8E" w:rsidRDefault="00995B3D" w:rsidP="0072423F">
      <w:pPr>
        <w:pStyle w:val="SectionTitle"/>
        <w:rPr>
          <w:sz w:val="24"/>
          <w:szCs w:val="24"/>
        </w:rPr>
      </w:pPr>
      <w:r w:rsidRPr="001F3C8E">
        <w:rPr>
          <w:sz w:val="24"/>
          <w:szCs w:val="24"/>
        </w:rPr>
        <w:t>APPLICATION</w:t>
      </w:r>
      <w:r w:rsidR="00AA691A" w:rsidRPr="001F3C8E">
        <w:rPr>
          <w:sz w:val="24"/>
          <w:szCs w:val="24"/>
        </w:rPr>
        <w:t xml:space="preserve"> INFORMATION SHEET</w:t>
      </w:r>
    </w:p>
    <w:p w14:paraId="234CB7B6" w14:textId="3E0A6B75" w:rsidR="006B5115" w:rsidRPr="001F3C8E" w:rsidRDefault="00AA691A" w:rsidP="00B05C90">
      <w:pPr>
        <w:pStyle w:val="Heading1"/>
      </w:pPr>
      <w:r w:rsidRPr="001F3C8E">
        <w:t xml:space="preserve">1. </w:t>
      </w:r>
      <w:r w:rsidR="006B5115" w:rsidRPr="001F3C8E">
        <w:t>Applicant Identification</w:t>
      </w:r>
    </w:p>
    <w:p w14:paraId="43BE3919" w14:textId="12ED0BDC" w:rsidR="006823AD" w:rsidRPr="001F3C8E" w:rsidRDefault="00C03A89" w:rsidP="0088310F">
      <w:pPr>
        <w:pStyle w:val="Bullet1"/>
        <w:numPr>
          <w:ilvl w:val="0"/>
          <w:numId w:val="0"/>
        </w:numPr>
        <w:tabs>
          <w:tab w:val="left" w:pos="630"/>
        </w:tabs>
        <w:spacing w:before="0" w:after="0"/>
        <w:rPr>
          <w:szCs w:val="24"/>
        </w:rPr>
      </w:pPr>
      <w:r>
        <w:rPr>
          <w:szCs w:val="24"/>
        </w:rPr>
        <w:t>Township of Mullica</w:t>
      </w:r>
    </w:p>
    <w:p w14:paraId="6B58D622" w14:textId="4E78133A" w:rsidR="00431482" w:rsidRPr="001F3C8E" w:rsidRDefault="00431482" w:rsidP="0088310F">
      <w:pPr>
        <w:pStyle w:val="Bullet1"/>
        <w:numPr>
          <w:ilvl w:val="0"/>
          <w:numId w:val="0"/>
        </w:numPr>
        <w:tabs>
          <w:tab w:val="left" w:pos="630"/>
        </w:tabs>
        <w:spacing w:before="0" w:after="0"/>
        <w:rPr>
          <w:szCs w:val="24"/>
        </w:rPr>
      </w:pPr>
      <w:r w:rsidRPr="001F3C8E">
        <w:rPr>
          <w:szCs w:val="24"/>
        </w:rPr>
        <w:t xml:space="preserve">Physical Address: </w:t>
      </w:r>
      <w:r w:rsidR="006A263F" w:rsidRPr="001F3C8E">
        <w:rPr>
          <w:szCs w:val="24"/>
        </w:rPr>
        <w:t>4528 S White Horse Pike</w:t>
      </w:r>
    </w:p>
    <w:p w14:paraId="29DE43C9" w14:textId="1418F5AB" w:rsidR="006823AD" w:rsidRPr="001F3C8E" w:rsidRDefault="00431482" w:rsidP="0088310F">
      <w:pPr>
        <w:pStyle w:val="Bullet1"/>
        <w:numPr>
          <w:ilvl w:val="0"/>
          <w:numId w:val="0"/>
        </w:numPr>
        <w:tabs>
          <w:tab w:val="left" w:pos="630"/>
        </w:tabs>
        <w:spacing w:before="0" w:after="0"/>
        <w:rPr>
          <w:szCs w:val="24"/>
        </w:rPr>
      </w:pPr>
      <w:r w:rsidRPr="001F3C8E">
        <w:rPr>
          <w:szCs w:val="24"/>
        </w:rPr>
        <w:t xml:space="preserve">Mailing Address: </w:t>
      </w:r>
      <w:r w:rsidR="006823AD" w:rsidRPr="001F3C8E">
        <w:rPr>
          <w:szCs w:val="24"/>
        </w:rPr>
        <w:t>PO Box 317</w:t>
      </w:r>
    </w:p>
    <w:p w14:paraId="7FBA4AFB" w14:textId="44BBC3E0" w:rsidR="00FA7BF1" w:rsidRPr="001F3C8E" w:rsidRDefault="00431482" w:rsidP="0088310F">
      <w:pPr>
        <w:pStyle w:val="Bullet1"/>
        <w:numPr>
          <w:ilvl w:val="0"/>
          <w:numId w:val="0"/>
        </w:numPr>
        <w:tabs>
          <w:tab w:val="left" w:pos="630"/>
        </w:tabs>
        <w:spacing w:before="0" w:after="0"/>
        <w:rPr>
          <w:szCs w:val="24"/>
        </w:rPr>
      </w:pPr>
      <w:r w:rsidRPr="001F3C8E">
        <w:rPr>
          <w:szCs w:val="24"/>
        </w:rPr>
        <w:t>Elwood</w:t>
      </w:r>
      <w:r w:rsidR="003825AE" w:rsidRPr="001F3C8E">
        <w:rPr>
          <w:szCs w:val="24"/>
        </w:rPr>
        <w:t>,</w:t>
      </w:r>
      <w:r w:rsidRPr="001F3C8E">
        <w:rPr>
          <w:szCs w:val="24"/>
        </w:rPr>
        <w:t xml:space="preserve"> </w:t>
      </w:r>
      <w:r w:rsidR="004E2674" w:rsidRPr="001F3C8E">
        <w:rPr>
          <w:szCs w:val="24"/>
        </w:rPr>
        <w:t>Atlantic County, New Jersey</w:t>
      </w:r>
      <w:r w:rsidR="00FD31E5" w:rsidRPr="001F3C8E">
        <w:rPr>
          <w:szCs w:val="24"/>
        </w:rPr>
        <w:t xml:space="preserve"> 08217</w:t>
      </w:r>
    </w:p>
    <w:p w14:paraId="505C5038" w14:textId="3FE8C748" w:rsidR="006B5115" w:rsidRPr="001F3C8E" w:rsidRDefault="00AA691A" w:rsidP="00B05C90">
      <w:pPr>
        <w:pStyle w:val="Heading1"/>
      </w:pPr>
      <w:r w:rsidRPr="001F3C8E">
        <w:t xml:space="preserve">2. </w:t>
      </w:r>
      <w:r w:rsidR="006B5115" w:rsidRPr="001F3C8E">
        <w:t>Website URL</w:t>
      </w:r>
    </w:p>
    <w:p w14:paraId="3C679748" w14:textId="4F3F09FB" w:rsidR="00FA7BF1" w:rsidRPr="001F3C8E" w:rsidRDefault="00356BFF" w:rsidP="0088310F">
      <w:pPr>
        <w:pStyle w:val="Bullet1"/>
        <w:numPr>
          <w:ilvl w:val="0"/>
          <w:numId w:val="0"/>
        </w:numPr>
        <w:rPr>
          <w:szCs w:val="24"/>
        </w:rPr>
      </w:pPr>
      <w:r w:rsidRPr="001F3C8E">
        <w:rPr>
          <w:szCs w:val="24"/>
        </w:rPr>
        <w:t>https://</w:t>
      </w:r>
      <w:r w:rsidR="00600A61" w:rsidRPr="001F3C8E">
        <w:rPr>
          <w:szCs w:val="24"/>
        </w:rPr>
        <w:t>www.</w:t>
      </w:r>
      <w:r w:rsidRPr="001F3C8E">
        <w:rPr>
          <w:szCs w:val="24"/>
        </w:rPr>
        <w:t>mullicatownship.org</w:t>
      </w:r>
    </w:p>
    <w:p w14:paraId="45715484" w14:textId="2B0890BF" w:rsidR="006B5115" w:rsidRPr="001F3C8E" w:rsidRDefault="00AA691A" w:rsidP="00B05C90">
      <w:pPr>
        <w:pStyle w:val="Heading1"/>
      </w:pPr>
      <w:r w:rsidRPr="001F3C8E">
        <w:t xml:space="preserve">3. </w:t>
      </w:r>
      <w:r w:rsidR="006B5115" w:rsidRPr="001F3C8E">
        <w:t>Funding Requested</w:t>
      </w:r>
      <w:r w:rsidR="00F97DB2" w:rsidRPr="001F3C8E">
        <w:t xml:space="preserve"> </w:t>
      </w:r>
    </w:p>
    <w:p w14:paraId="5F8AAF81" w14:textId="113D4D76" w:rsidR="00951EA2" w:rsidRPr="001F3C8E" w:rsidRDefault="00D90859" w:rsidP="00F4056D">
      <w:pPr>
        <w:pStyle w:val="Heading2"/>
      </w:pPr>
      <w:r w:rsidRPr="001F3C8E">
        <w:t>3.</w:t>
      </w:r>
      <w:r w:rsidR="00951EA2" w:rsidRPr="001F3C8E">
        <w:t xml:space="preserve">a. </w:t>
      </w:r>
      <w:r w:rsidR="006B5115" w:rsidRPr="001F3C8E">
        <w:t xml:space="preserve">Grant Type </w:t>
      </w:r>
    </w:p>
    <w:p w14:paraId="10B66A32" w14:textId="0DEB07F7" w:rsidR="0072423F" w:rsidRPr="001F3C8E" w:rsidRDefault="00575FC0" w:rsidP="0088310F">
      <w:pPr>
        <w:pStyle w:val="Bullet1"/>
        <w:numPr>
          <w:ilvl w:val="0"/>
          <w:numId w:val="0"/>
        </w:numPr>
        <w:spacing w:before="0" w:after="0"/>
        <w:rPr>
          <w:szCs w:val="24"/>
        </w:rPr>
      </w:pPr>
      <w:r w:rsidRPr="001F3C8E">
        <w:rPr>
          <w:szCs w:val="24"/>
        </w:rPr>
        <w:t xml:space="preserve">EPA </w:t>
      </w:r>
      <w:r w:rsidR="000E1D0D" w:rsidRPr="001F3C8E">
        <w:rPr>
          <w:szCs w:val="24"/>
        </w:rPr>
        <w:t>Oﬃce of Brownﬁelds and Land Revitalization (OBLR)</w:t>
      </w:r>
      <w:r w:rsidRPr="001F3C8E">
        <w:rPr>
          <w:szCs w:val="24"/>
        </w:rPr>
        <w:t xml:space="preserve"> Cleanup Grant</w:t>
      </w:r>
      <w:r w:rsidR="00D23D87" w:rsidRPr="001F3C8E">
        <w:rPr>
          <w:szCs w:val="24"/>
        </w:rPr>
        <w:t xml:space="preserve"> </w:t>
      </w:r>
    </w:p>
    <w:p w14:paraId="5634AA77" w14:textId="40C50FB5" w:rsidR="008B4931" w:rsidRPr="001F3C8E" w:rsidRDefault="008B4931" w:rsidP="0088310F">
      <w:pPr>
        <w:pStyle w:val="Bullet1"/>
        <w:numPr>
          <w:ilvl w:val="0"/>
          <w:numId w:val="0"/>
        </w:numPr>
        <w:spacing w:before="0" w:after="0"/>
        <w:rPr>
          <w:szCs w:val="24"/>
        </w:rPr>
      </w:pPr>
      <w:r w:rsidRPr="001F3C8E">
        <w:rPr>
          <w:szCs w:val="24"/>
        </w:rPr>
        <w:t xml:space="preserve">Funding Opportunity Number: </w:t>
      </w:r>
      <w:r w:rsidR="002D6FC2" w:rsidRPr="001F3C8E">
        <w:rPr>
          <w:szCs w:val="24"/>
        </w:rPr>
        <w:t>EPA-I-OLEM-OBLR-25-07</w:t>
      </w:r>
    </w:p>
    <w:p w14:paraId="681AA448" w14:textId="67A5136D" w:rsidR="000601FC" w:rsidRPr="001F3C8E" w:rsidRDefault="005850E9" w:rsidP="0088310F">
      <w:pPr>
        <w:pStyle w:val="Bullet1"/>
        <w:numPr>
          <w:ilvl w:val="0"/>
          <w:numId w:val="0"/>
        </w:numPr>
        <w:spacing w:before="0" w:after="0"/>
        <w:rPr>
          <w:szCs w:val="24"/>
        </w:rPr>
      </w:pPr>
      <w:r w:rsidRPr="001F3C8E">
        <w:rPr>
          <w:szCs w:val="24"/>
        </w:rPr>
        <w:t>Single Site Cleanup</w:t>
      </w:r>
    </w:p>
    <w:p w14:paraId="6A076EC7" w14:textId="360EAC1D" w:rsidR="006B5115" w:rsidRPr="001F3C8E" w:rsidRDefault="00D90859" w:rsidP="00F4056D">
      <w:pPr>
        <w:pStyle w:val="Heading2"/>
      </w:pPr>
      <w:r w:rsidRPr="001F3C8E">
        <w:t>3.</w:t>
      </w:r>
      <w:r w:rsidR="0043158B" w:rsidRPr="001F3C8E">
        <w:t xml:space="preserve">b. </w:t>
      </w:r>
      <w:r w:rsidR="006B5115" w:rsidRPr="001F3C8E">
        <w:t>Federal Funds Requested</w:t>
      </w:r>
    </w:p>
    <w:p w14:paraId="317F3BDB" w14:textId="1C1E0FA1" w:rsidR="00FA7BF1" w:rsidRPr="001F3C8E" w:rsidRDefault="00B55C03" w:rsidP="0088310F">
      <w:pPr>
        <w:pStyle w:val="Bullet1"/>
        <w:numPr>
          <w:ilvl w:val="0"/>
          <w:numId w:val="0"/>
        </w:numPr>
        <w:tabs>
          <w:tab w:val="left" w:pos="360"/>
          <w:tab w:val="left" w:pos="630"/>
        </w:tabs>
        <w:rPr>
          <w:szCs w:val="24"/>
        </w:rPr>
      </w:pPr>
      <w:r w:rsidRPr="001F3C8E">
        <w:rPr>
          <w:szCs w:val="24"/>
        </w:rPr>
        <w:t>$4,000,000</w:t>
      </w:r>
    </w:p>
    <w:p w14:paraId="7D39478C" w14:textId="51280E89" w:rsidR="000C35A6" w:rsidRPr="001F3C8E" w:rsidRDefault="00AA691A" w:rsidP="00B05C90">
      <w:pPr>
        <w:pStyle w:val="Heading1"/>
      </w:pPr>
      <w:r w:rsidRPr="001F3C8E">
        <w:t xml:space="preserve">4. </w:t>
      </w:r>
      <w:r w:rsidR="000C35A6" w:rsidRPr="001F3C8E">
        <w:t>Location</w:t>
      </w:r>
    </w:p>
    <w:p w14:paraId="66E81FB4" w14:textId="77777777" w:rsidR="008B6475" w:rsidRPr="001F3C8E" w:rsidRDefault="009340D5" w:rsidP="0088310F">
      <w:pPr>
        <w:pStyle w:val="Bullet1"/>
        <w:numPr>
          <w:ilvl w:val="0"/>
          <w:numId w:val="0"/>
        </w:numPr>
        <w:spacing w:before="0" w:after="0"/>
        <w:rPr>
          <w:szCs w:val="24"/>
        </w:rPr>
      </w:pPr>
      <w:r w:rsidRPr="001F3C8E">
        <w:rPr>
          <w:szCs w:val="24"/>
        </w:rPr>
        <w:t xml:space="preserve">City: </w:t>
      </w:r>
      <w:r w:rsidR="008B6475" w:rsidRPr="001F3C8E">
        <w:rPr>
          <w:szCs w:val="24"/>
        </w:rPr>
        <w:t>Mullica Township</w:t>
      </w:r>
    </w:p>
    <w:p w14:paraId="113FB68F" w14:textId="77777777" w:rsidR="008B6475" w:rsidRPr="001F3C8E" w:rsidRDefault="008B6475" w:rsidP="0088310F">
      <w:pPr>
        <w:pStyle w:val="Bullet1"/>
        <w:numPr>
          <w:ilvl w:val="0"/>
          <w:numId w:val="0"/>
        </w:numPr>
        <w:spacing w:before="0" w:after="0"/>
        <w:rPr>
          <w:szCs w:val="24"/>
        </w:rPr>
      </w:pPr>
      <w:r w:rsidRPr="001F3C8E">
        <w:rPr>
          <w:szCs w:val="24"/>
        </w:rPr>
        <w:t>County: Atlantic County</w:t>
      </w:r>
    </w:p>
    <w:p w14:paraId="72B2A3AA" w14:textId="77777777" w:rsidR="008B6475" w:rsidRPr="001F3C8E" w:rsidRDefault="008B6475" w:rsidP="0088310F">
      <w:pPr>
        <w:pStyle w:val="Bullet1"/>
        <w:numPr>
          <w:ilvl w:val="0"/>
          <w:numId w:val="0"/>
        </w:numPr>
        <w:spacing w:before="0" w:after="0"/>
        <w:rPr>
          <w:szCs w:val="24"/>
        </w:rPr>
      </w:pPr>
      <w:r w:rsidRPr="001F3C8E">
        <w:rPr>
          <w:szCs w:val="24"/>
        </w:rPr>
        <w:t>State: New Jersey</w:t>
      </w:r>
    </w:p>
    <w:p w14:paraId="54311E1B" w14:textId="29E31EE0" w:rsidR="000C35A6" w:rsidRPr="001F3C8E" w:rsidRDefault="00AA691A" w:rsidP="00B05C90">
      <w:pPr>
        <w:pStyle w:val="Heading1"/>
      </w:pPr>
      <w:r w:rsidRPr="001F3C8E">
        <w:t xml:space="preserve">5. </w:t>
      </w:r>
      <w:r w:rsidR="000C35A6" w:rsidRPr="001F3C8E">
        <w:t>Property Information</w:t>
      </w:r>
    </w:p>
    <w:p w14:paraId="64314B6B" w14:textId="2E107299" w:rsidR="00327DF1" w:rsidRPr="001F3C8E" w:rsidRDefault="008B6475" w:rsidP="0088310F">
      <w:pPr>
        <w:pStyle w:val="Bullet1"/>
        <w:numPr>
          <w:ilvl w:val="0"/>
          <w:numId w:val="0"/>
        </w:numPr>
        <w:spacing w:before="0" w:after="0"/>
        <w:rPr>
          <w:szCs w:val="24"/>
        </w:rPr>
      </w:pPr>
      <w:bookmarkStart w:id="0" w:name="_Hlk217466350"/>
      <w:r w:rsidRPr="001F3C8E">
        <w:rPr>
          <w:szCs w:val="24"/>
        </w:rPr>
        <w:t>Site</w:t>
      </w:r>
      <w:r w:rsidR="00220CA8" w:rsidRPr="001F3C8E">
        <w:rPr>
          <w:szCs w:val="24"/>
        </w:rPr>
        <w:t xml:space="preserve"> Name: </w:t>
      </w:r>
      <w:r w:rsidR="00BD5D63" w:rsidRPr="001F3C8E">
        <w:rPr>
          <w:szCs w:val="24"/>
        </w:rPr>
        <w:t>Former Joseph Perona Scrapyard</w:t>
      </w:r>
    </w:p>
    <w:p w14:paraId="78389777" w14:textId="1D6FF6C1" w:rsidR="008B6475" w:rsidRPr="001F3C8E" w:rsidRDefault="008B6475" w:rsidP="0088310F">
      <w:pPr>
        <w:pStyle w:val="Bullet1"/>
        <w:numPr>
          <w:ilvl w:val="0"/>
          <w:numId w:val="0"/>
        </w:numPr>
        <w:spacing w:before="0" w:after="0"/>
        <w:rPr>
          <w:szCs w:val="24"/>
        </w:rPr>
      </w:pPr>
      <w:r w:rsidRPr="001F3C8E">
        <w:rPr>
          <w:szCs w:val="24"/>
        </w:rPr>
        <w:t>Address: 1801 Columbia Road</w:t>
      </w:r>
      <w:r w:rsidR="00604C93" w:rsidRPr="001F3C8E">
        <w:rPr>
          <w:szCs w:val="24"/>
        </w:rPr>
        <w:t>, Mullica Township, New Jersey 08217</w:t>
      </w:r>
    </w:p>
    <w:p w14:paraId="6B48638C" w14:textId="48501DA8" w:rsidR="008B6475" w:rsidRPr="001F3C8E" w:rsidRDefault="008B6475" w:rsidP="0088310F">
      <w:pPr>
        <w:pStyle w:val="Bullet1"/>
        <w:numPr>
          <w:ilvl w:val="0"/>
          <w:numId w:val="0"/>
        </w:numPr>
        <w:spacing w:before="0" w:after="0"/>
        <w:rPr>
          <w:szCs w:val="24"/>
        </w:rPr>
      </w:pPr>
      <w:r w:rsidRPr="001F3C8E">
        <w:rPr>
          <w:szCs w:val="24"/>
        </w:rPr>
        <w:t>Block: 2401, Lot: 10</w:t>
      </w:r>
    </w:p>
    <w:p w14:paraId="2DD115B1" w14:textId="1EA606B2" w:rsidR="008B6475" w:rsidRPr="001F3C8E" w:rsidRDefault="00764B74" w:rsidP="0088310F">
      <w:pPr>
        <w:pStyle w:val="Bullet1"/>
        <w:numPr>
          <w:ilvl w:val="0"/>
          <w:numId w:val="0"/>
        </w:numPr>
        <w:spacing w:before="0" w:after="0"/>
        <w:rPr>
          <w:szCs w:val="24"/>
        </w:rPr>
      </w:pPr>
      <w:r w:rsidRPr="001F3C8E">
        <w:rPr>
          <w:szCs w:val="24"/>
        </w:rPr>
        <w:t>Acreage: 99-acres</w:t>
      </w:r>
    </w:p>
    <w:p w14:paraId="40E9205B" w14:textId="1271AE13" w:rsidR="00F10FBC" w:rsidRPr="001F3C8E" w:rsidRDefault="00764B74" w:rsidP="0088310F">
      <w:pPr>
        <w:pStyle w:val="Bullet1"/>
        <w:numPr>
          <w:ilvl w:val="0"/>
          <w:numId w:val="0"/>
        </w:numPr>
        <w:spacing w:before="0" w:after="0"/>
        <w:rPr>
          <w:szCs w:val="24"/>
        </w:rPr>
      </w:pPr>
      <w:r w:rsidRPr="001F3C8E">
        <w:rPr>
          <w:szCs w:val="24"/>
        </w:rPr>
        <w:t xml:space="preserve">NJDEP </w:t>
      </w:r>
      <w:r w:rsidR="007D7268" w:rsidRPr="001F3C8E">
        <w:rPr>
          <w:szCs w:val="24"/>
        </w:rPr>
        <w:t xml:space="preserve">Contaminated Site Remediation and Redevelopment </w:t>
      </w:r>
      <w:r w:rsidR="00465889" w:rsidRPr="001F3C8E">
        <w:rPr>
          <w:szCs w:val="24"/>
        </w:rPr>
        <w:t xml:space="preserve">Program Interest No. </w:t>
      </w:r>
      <w:r w:rsidR="00BD5D63" w:rsidRPr="001F3C8E">
        <w:rPr>
          <w:szCs w:val="24"/>
        </w:rPr>
        <w:t>G000000472</w:t>
      </w:r>
    </w:p>
    <w:bookmarkEnd w:id="0"/>
    <w:p w14:paraId="20BF2A40" w14:textId="30FD8583" w:rsidR="0028075E" w:rsidRPr="001F3C8E" w:rsidRDefault="0081555E" w:rsidP="0088310F">
      <w:pPr>
        <w:pStyle w:val="Bullet1"/>
        <w:numPr>
          <w:ilvl w:val="0"/>
          <w:numId w:val="0"/>
        </w:numPr>
        <w:spacing w:before="0" w:after="0"/>
        <w:rPr>
          <w:szCs w:val="24"/>
        </w:rPr>
      </w:pPr>
      <w:r w:rsidRPr="001F3C8E">
        <w:rPr>
          <w:szCs w:val="24"/>
        </w:rPr>
        <w:t xml:space="preserve">See attached </w:t>
      </w:r>
      <w:r w:rsidR="0057398D" w:rsidRPr="001F3C8E">
        <w:rPr>
          <w:szCs w:val="24"/>
        </w:rPr>
        <w:t>Figure 1 – Site Location Map</w:t>
      </w:r>
    </w:p>
    <w:p w14:paraId="3D96A1C5" w14:textId="30133D94" w:rsidR="00913310" w:rsidRPr="001F3C8E" w:rsidRDefault="00AA691A" w:rsidP="00B05C90">
      <w:pPr>
        <w:pStyle w:val="Heading1"/>
      </w:pPr>
      <w:r w:rsidRPr="001F3C8E">
        <w:t xml:space="preserve">6. </w:t>
      </w:r>
      <w:r w:rsidR="00913310" w:rsidRPr="001F3C8E">
        <w:t>Contacts</w:t>
      </w:r>
    </w:p>
    <w:p w14:paraId="5E49B6FA" w14:textId="199A9B4A" w:rsidR="009D13AA" w:rsidRPr="001F3C8E" w:rsidRDefault="00D90859" w:rsidP="00F4056D">
      <w:pPr>
        <w:pStyle w:val="Heading2"/>
      </w:pPr>
      <w:r w:rsidRPr="001F3C8E">
        <w:t>6.</w:t>
      </w:r>
      <w:r w:rsidR="009D13AA" w:rsidRPr="001F3C8E">
        <w:t xml:space="preserve">a. </w:t>
      </w:r>
      <w:r w:rsidR="00913310" w:rsidRPr="001F3C8E">
        <w:t>Project Director</w:t>
      </w:r>
    </w:p>
    <w:p w14:paraId="7E365645" w14:textId="29925CD6" w:rsidR="00F81D1F" w:rsidRPr="001F3C8E" w:rsidRDefault="00F81D1F" w:rsidP="0088310F">
      <w:pPr>
        <w:pStyle w:val="Bullet1"/>
        <w:numPr>
          <w:ilvl w:val="0"/>
          <w:numId w:val="0"/>
        </w:numPr>
        <w:spacing w:before="0" w:after="0"/>
        <w:rPr>
          <w:szCs w:val="24"/>
        </w:rPr>
      </w:pPr>
      <w:r w:rsidRPr="001F3C8E">
        <w:rPr>
          <w:szCs w:val="24"/>
        </w:rPr>
        <w:t>Dawn Stollenwerk</w:t>
      </w:r>
      <w:r w:rsidR="00185A53" w:rsidRPr="001F3C8E">
        <w:rPr>
          <w:szCs w:val="24"/>
        </w:rPr>
        <w:t xml:space="preserve">, </w:t>
      </w:r>
      <w:r w:rsidRPr="001F3C8E">
        <w:rPr>
          <w:szCs w:val="24"/>
        </w:rPr>
        <w:t>Chief Financial Officer, Mullica Township</w:t>
      </w:r>
    </w:p>
    <w:p w14:paraId="0598895C" w14:textId="77777777" w:rsidR="00F81D1F" w:rsidRPr="001F3C8E" w:rsidRDefault="00F81D1F" w:rsidP="0088310F">
      <w:pPr>
        <w:pStyle w:val="Bullet1"/>
        <w:numPr>
          <w:ilvl w:val="0"/>
          <w:numId w:val="0"/>
        </w:numPr>
        <w:spacing w:before="0" w:after="0"/>
        <w:rPr>
          <w:szCs w:val="24"/>
        </w:rPr>
      </w:pPr>
      <w:r w:rsidRPr="001F3C8E">
        <w:rPr>
          <w:szCs w:val="24"/>
        </w:rPr>
        <w:t>PO Box 317, Elwood, New Jersey 08217</w:t>
      </w:r>
    </w:p>
    <w:p w14:paraId="47DA3E4D" w14:textId="77777777" w:rsidR="00F81D1F" w:rsidRPr="001F3C8E" w:rsidRDefault="00F81D1F" w:rsidP="0088310F">
      <w:pPr>
        <w:pStyle w:val="Bullet1"/>
        <w:numPr>
          <w:ilvl w:val="0"/>
          <w:numId w:val="0"/>
        </w:numPr>
        <w:spacing w:before="0" w:after="0"/>
        <w:rPr>
          <w:szCs w:val="24"/>
        </w:rPr>
      </w:pPr>
      <w:r w:rsidRPr="001F3C8E">
        <w:rPr>
          <w:szCs w:val="24"/>
        </w:rPr>
        <w:t xml:space="preserve">Phone: (609) 561-7070 | Email: </w:t>
      </w:r>
      <w:hyperlink r:id="rId12" w:history="1">
        <w:r w:rsidRPr="001F3C8E">
          <w:rPr>
            <w:rStyle w:val="Hyperlink"/>
            <w:szCs w:val="24"/>
          </w:rPr>
          <w:t>Dstollenwerk@mullicatownship.org</w:t>
        </w:r>
      </w:hyperlink>
      <w:r w:rsidRPr="001F3C8E">
        <w:rPr>
          <w:szCs w:val="24"/>
        </w:rPr>
        <w:t xml:space="preserve"> </w:t>
      </w:r>
    </w:p>
    <w:p w14:paraId="5555CB01" w14:textId="1BD988E2" w:rsidR="009D13AA" w:rsidRPr="001F3C8E" w:rsidRDefault="009910F0" w:rsidP="00F4056D">
      <w:pPr>
        <w:pStyle w:val="Heading2"/>
      </w:pPr>
      <w:r w:rsidRPr="001F3C8E">
        <w:rPr>
          <w:bCs/>
        </w:rPr>
        <w:t>6.</w:t>
      </w:r>
      <w:r w:rsidR="007D2F90" w:rsidRPr="001F3C8E">
        <w:rPr>
          <w:bCs/>
        </w:rPr>
        <w:t>b</w:t>
      </w:r>
      <w:r w:rsidR="007D2F90" w:rsidRPr="001F3C8E">
        <w:t xml:space="preserve">. </w:t>
      </w:r>
      <w:r w:rsidR="00913310" w:rsidRPr="001F3C8E">
        <w:t>Chief Executive/Highest Ranking Elected Official</w:t>
      </w:r>
    </w:p>
    <w:p w14:paraId="3D5EB69E" w14:textId="1B4B5129" w:rsidR="005012A8" w:rsidRPr="001F3C8E" w:rsidRDefault="005012A8" w:rsidP="0088310F">
      <w:pPr>
        <w:pStyle w:val="Bullet1"/>
        <w:numPr>
          <w:ilvl w:val="0"/>
          <w:numId w:val="0"/>
        </w:numPr>
        <w:spacing w:before="0" w:after="0"/>
        <w:rPr>
          <w:szCs w:val="24"/>
        </w:rPr>
      </w:pPr>
      <w:r w:rsidRPr="001F3C8E">
        <w:rPr>
          <w:szCs w:val="24"/>
        </w:rPr>
        <w:t>DeAnna DeMarco</w:t>
      </w:r>
      <w:r w:rsidR="00185A53" w:rsidRPr="001F3C8E">
        <w:rPr>
          <w:szCs w:val="24"/>
        </w:rPr>
        <w:t xml:space="preserve">, </w:t>
      </w:r>
      <w:r w:rsidRPr="001F3C8E">
        <w:rPr>
          <w:szCs w:val="24"/>
        </w:rPr>
        <w:t>Mayor, Mullica Township</w:t>
      </w:r>
    </w:p>
    <w:p w14:paraId="7590AD2D" w14:textId="77777777" w:rsidR="005012A8" w:rsidRPr="001F3C8E" w:rsidRDefault="005012A8" w:rsidP="0088310F">
      <w:pPr>
        <w:pStyle w:val="Bullet1"/>
        <w:numPr>
          <w:ilvl w:val="0"/>
          <w:numId w:val="0"/>
        </w:numPr>
        <w:spacing w:before="0" w:after="0"/>
        <w:rPr>
          <w:szCs w:val="24"/>
        </w:rPr>
      </w:pPr>
      <w:r w:rsidRPr="001F3C8E">
        <w:rPr>
          <w:szCs w:val="24"/>
        </w:rPr>
        <w:t>PO Box 317, Elwood, New Jersey 08217</w:t>
      </w:r>
    </w:p>
    <w:p w14:paraId="1F61330F" w14:textId="5D4AB1B5" w:rsidR="005012A8" w:rsidRPr="001F3C8E" w:rsidRDefault="005012A8" w:rsidP="0088310F">
      <w:pPr>
        <w:pStyle w:val="Bullet1"/>
        <w:numPr>
          <w:ilvl w:val="0"/>
          <w:numId w:val="0"/>
        </w:numPr>
        <w:spacing w:before="0" w:after="0"/>
        <w:rPr>
          <w:szCs w:val="24"/>
        </w:rPr>
      </w:pPr>
      <w:r w:rsidRPr="001F3C8E">
        <w:rPr>
          <w:szCs w:val="24"/>
        </w:rPr>
        <w:t>Phone: (609) 561-</w:t>
      </w:r>
      <w:r w:rsidR="00614AB4" w:rsidRPr="001F3C8E">
        <w:rPr>
          <w:szCs w:val="24"/>
        </w:rPr>
        <w:t xml:space="preserve">0064 </w:t>
      </w:r>
      <w:r w:rsidRPr="001F3C8E">
        <w:rPr>
          <w:szCs w:val="24"/>
        </w:rPr>
        <w:t xml:space="preserve">| Email: </w:t>
      </w:r>
      <w:hyperlink r:id="rId13" w:history="1">
        <w:r w:rsidRPr="001F3C8E">
          <w:rPr>
            <w:rStyle w:val="Hyperlink"/>
            <w:szCs w:val="24"/>
          </w:rPr>
          <w:t>DDeMarco@mullicatownship.org</w:t>
        </w:r>
      </w:hyperlink>
    </w:p>
    <w:p w14:paraId="6B33DF7C" w14:textId="3D6A4AA0" w:rsidR="007D2F90" w:rsidRPr="001F3C8E" w:rsidRDefault="00E24AF6" w:rsidP="00B05C90">
      <w:pPr>
        <w:pStyle w:val="Heading1"/>
      </w:pPr>
      <w:r w:rsidRPr="001F3C8E">
        <w:t xml:space="preserve">7. </w:t>
      </w:r>
      <w:r w:rsidR="007D2F90" w:rsidRPr="001F3C8E">
        <w:t>Population</w:t>
      </w:r>
    </w:p>
    <w:p w14:paraId="489DB08B" w14:textId="170435CF" w:rsidR="008137C8" w:rsidRPr="001F3C8E" w:rsidRDefault="006022A8" w:rsidP="0088310F">
      <w:pPr>
        <w:pStyle w:val="Bullet1"/>
        <w:numPr>
          <w:ilvl w:val="0"/>
          <w:numId w:val="0"/>
        </w:numPr>
        <w:spacing w:before="0" w:after="0"/>
        <w:rPr>
          <w:szCs w:val="24"/>
        </w:rPr>
      </w:pPr>
      <w:r w:rsidRPr="001F3C8E">
        <w:rPr>
          <w:rFonts w:cstheme="minorHAnsi"/>
          <w:szCs w:val="24"/>
        </w:rPr>
        <w:t xml:space="preserve">Mullica Township: </w:t>
      </w:r>
      <w:r w:rsidR="008A6D22" w:rsidRPr="001F3C8E">
        <w:rPr>
          <w:rFonts w:cstheme="minorHAnsi"/>
          <w:szCs w:val="24"/>
        </w:rPr>
        <w:t>Approx</w:t>
      </w:r>
      <w:r w:rsidR="0010575A" w:rsidRPr="001F3C8E">
        <w:rPr>
          <w:rFonts w:cstheme="minorHAnsi"/>
          <w:szCs w:val="24"/>
        </w:rPr>
        <w:t>.</w:t>
      </w:r>
      <w:r w:rsidR="008A6D22" w:rsidRPr="001F3C8E">
        <w:rPr>
          <w:rFonts w:cstheme="minorHAnsi"/>
          <w:szCs w:val="24"/>
        </w:rPr>
        <w:t xml:space="preserve"> 5,815 </w:t>
      </w:r>
    </w:p>
    <w:p w14:paraId="4CC7D41A" w14:textId="2B5074CD" w:rsidR="0072423F" w:rsidRPr="001F3C8E" w:rsidRDefault="008137C8" w:rsidP="0088310F">
      <w:pPr>
        <w:pStyle w:val="Bullet1"/>
        <w:numPr>
          <w:ilvl w:val="0"/>
          <w:numId w:val="0"/>
        </w:numPr>
        <w:spacing w:before="0" w:after="0"/>
        <w:rPr>
          <w:szCs w:val="24"/>
        </w:rPr>
      </w:pPr>
      <w:r w:rsidRPr="001F3C8E">
        <w:rPr>
          <w:rFonts w:cstheme="minorHAnsi"/>
          <w:szCs w:val="24"/>
        </w:rPr>
        <w:t>Source: U.S. Census 2023 American Community survey 5-year estimates (2019-2023)</w:t>
      </w:r>
    </w:p>
    <w:p w14:paraId="23DD8189" w14:textId="1B246469" w:rsidR="0028075E" w:rsidRPr="001F3C8E" w:rsidRDefault="00E24AF6" w:rsidP="00B05C90">
      <w:pPr>
        <w:pStyle w:val="Heading1"/>
      </w:pPr>
      <w:r w:rsidRPr="001F3C8E">
        <w:t xml:space="preserve">8. </w:t>
      </w:r>
      <w:r w:rsidR="0028075E" w:rsidRPr="001F3C8E">
        <w:t>Other Factors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895"/>
      </w:tblGrid>
      <w:tr w:rsidR="00293442" w:rsidRPr="008F1FBA" w14:paraId="67496528" w14:textId="77777777" w:rsidTr="0095651B">
        <w:tc>
          <w:tcPr>
            <w:tcW w:w="8455" w:type="dxa"/>
          </w:tcPr>
          <w:p w14:paraId="75DE999C" w14:textId="01B8015D" w:rsidR="00293442" w:rsidRPr="001F3C8E" w:rsidRDefault="0095651B" w:rsidP="00783C8D">
            <w:pPr>
              <w:pStyle w:val="TableColumnHeading"/>
              <w:jc w:val="left"/>
            </w:pPr>
            <w:r w:rsidRPr="001F3C8E">
              <w:t>Other Factors</w:t>
            </w:r>
          </w:p>
        </w:tc>
        <w:tc>
          <w:tcPr>
            <w:tcW w:w="895" w:type="dxa"/>
          </w:tcPr>
          <w:p w14:paraId="77B7F546" w14:textId="31DE304E" w:rsidR="00293442" w:rsidRPr="001F3C8E" w:rsidRDefault="0095651B" w:rsidP="00783C8D">
            <w:pPr>
              <w:pStyle w:val="TableColumnHeading"/>
            </w:pPr>
            <w:r w:rsidRPr="001F3C8E">
              <w:t>Page #</w:t>
            </w:r>
          </w:p>
        </w:tc>
      </w:tr>
      <w:tr w:rsidR="00293442" w:rsidRPr="008F1FBA" w14:paraId="49FD29B7" w14:textId="77777777" w:rsidTr="0095651B">
        <w:tc>
          <w:tcPr>
            <w:tcW w:w="8455" w:type="dxa"/>
          </w:tcPr>
          <w:p w14:paraId="05BA8A93" w14:textId="30DD303E" w:rsidR="00293442" w:rsidRPr="001F3C8E" w:rsidRDefault="00293442" w:rsidP="0095651B">
            <w:pPr>
              <w:jc w:val="left"/>
              <w:rPr>
                <w:szCs w:val="24"/>
              </w:rPr>
            </w:pPr>
            <w:r w:rsidRPr="001F3C8E">
              <w:rPr>
                <w:szCs w:val="24"/>
              </w:rPr>
              <w:t>Community population is 15,000 or less.</w:t>
            </w:r>
          </w:p>
        </w:tc>
        <w:tc>
          <w:tcPr>
            <w:tcW w:w="895" w:type="dxa"/>
          </w:tcPr>
          <w:p w14:paraId="6062D11D" w14:textId="75DD4B2A" w:rsidR="00293442" w:rsidRPr="001F3C8E" w:rsidRDefault="00E9349E" w:rsidP="0095651B">
            <w:pPr>
              <w:jc w:val="center"/>
              <w:rPr>
                <w:szCs w:val="24"/>
              </w:rPr>
            </w:pPr>
            <w:r>
              <w:rPr>
                <w:szCs w:val="24"/>
              </w:rPr>
              <w:t>2.a.</w:t>
            </w:r>
          </w:p>
        </w:tc>
      </w:tr>
      <w:tr w:rsidR="0095651B" w:rsidRPr="008F1FBA" w14:paraId="571DFAC7" w14:textId="77777777" w:rsidTr="0095651B">
        <w:tc>
          <w:tcPr>
            <w:tcW w:w="8455" w:type="dxa"/>
          </w:tcPr>
          <w:p w14:paraId="30E35E49" w14:textId="76A04C1A" w:rsidR="0095651B" w:rsidRPr="001F3C8E" w:rsidRDefault="0095651B" w:rsidP="0095651B">
            <w:pPr>
              <w:jc w:val="left"/>
              <w:rPr>
                <w:szCs w:val="24"/>
              </w:rPr>
            </w:pPr>
            <w:r w:rsidRPr="001F3C8E">
              <w:rPr>
                <w:szCs w:val="24"/>
              </w:rPr>
              <w:t>The applicant is, or will assist, a federally recognized Indian Tribe or United States Territory.</w:t>
            </w:r>
          </w:p>
        </w:tc>
        <w:tc>
          <w:tcPr>
            <w:tcW w:w="895" w:type="dxa"/>
          </w:tcPr>
          <w:p w14:paraId="1DA4D221" w14:textId="3E137563" w:rsidR="0095651B" w:rsidRPr="001F3C8E" w:rsidRDefault="006022A8" w:rsidP="0095651B">
            <w:pPr>
              <w:jc w:val="center"/>
              <w:rPr>
                <w:szCs w:val="24"/>
              </w:rPr>
            </w:pPr>
            <w:r w:rsidRPr="001F3C8E">
              <w:rPr>
                <w:szCs w:val="24"/>
              </w:rPr>
              <w:t>N/A</w:t>
            </w:r>
          </w:p>
        </w:tc>
      </w:tr>
      <w:tr w:rsidR="00293442" w:rsidRPr="008F1FBA" w14:paraId="2BE51475" w14:textId="77777777" w:rsidTr="0095651B">
        <w:tc>
          <w:tcPr>
            <w:tcW w:w="8455" w:type="dxa"/>
          </w:tcPr>
          <w:p w14:paraId="103625B4" w14:textId="0A2FF541" w:rsidR="00293442" w:rsidRPr="001F3C8E" w:rsidRDefault="00293442" w:rsidP="0095651B">
            <w:pPr>
              <w:jc w:val="left"/>
              <w:rPr>
                <w:szCs w:val="24"/>
              </w:rPr>
            </w:pPr>
            <w:r w:rsidRPr="001F3C8E">
              <w:rPr>
                <w:szCs w:val="24"/>
              </w:rPr>
              <w:t>The proposed brownfield site(s) is impacted by mine-scarred land.</w:t>
            </w:r>
          </w:p>
        </w:tc>
        <w:tc>
          <w:tcPr>
            <w:tcW w:w="895" w:type="dxa"/>
          </w:tcPr>
          <w:p w14:paraId="0851242A" w14:textId="187A9D4C" w:rsidR="00293442" w:rsidRPr="001F3C8E" w:rsidRDefault="006022A8" w:rsidP="0095651B">
            <w:pPr>
              <w:jc w:val="center"/>
              <w:rPr>
                <w:szCs w:val="24"/>
              </w:rPr>
            </w:pPr>
            <w:r w:rsidRPr="001F3C8E">
              <w:rPr>
                <w:szCs w:val="24"/>
              </w:rPr>
              <w:t>N/A</w:t>
            </w:r>
          </w:p>
        </w:tc>
      </w:tr>
      <w:tr w:rsidR="00293442" w:rsidRPr="008F1FBA" w14:paraId="3518ADF0" w14:textId="77777777" w:rsidTr="0095651B">
        <w:tc>
          <w:tcPr>
            <w:tcW w:w="8455" w:type="dxa"/>
          </w:tcPr>
          <w:p w14:paraId="0E4EA4FF" w14:textId="7F3C12D2" w:rsidR="00293442" w:rsidRPr="001F3C8E" w:rsidRDefault="00293442" w:rsidP="0095651B">
            <w:pPr>
              <w:jc w:val="left"/>
              <w:rPr>
                <w:szCs w:val="24"/>
              </w:rPr>
            </w:pPr>
            <w:r w:rsidRPr="001F3C8E">
              <w:rPr>
                <w:szCs w:val="24"/>
              </w:rPr>
              <w:lastRenderedPageBreak/>
              <w:t>Secured firm leveraging commitment ties directly to the project and will facilitate completion of the remediation/reuse; secured resource is identified in the Narrative and substantiated in the attached documentation.</w:t>
            </w:r>
          </w:p>
        </w:tc>
        <w:tc>
          <w:tcPr>
            <w:tcW w:w="895" w:type="dxa"/>
          </w:tcPr>
          <w:p w14:paraId="3831D4B3" w14:textId="6DF888F0" w:rsidR="00293442" w:rsidRPr="001F3C8E" w:rsidRDefault="00124C2E" w:rsidP="0095651B">
            <w:pPr>
              <w:jc w:val="center"/>
              <w:rPr>
                <w:szCs w:val="24"/>
              </w:rPr>
            </w:pPr>
            <w:r w:rsidRPr="001F3C8E">
              <w:rPr>
                <w:szCs w:val="24"/>
              </w:rPr>
              <w:t>1</w:t>
            </w:r>
            <w:r w:rsidR="00FB4C1F" w:rsidRPr="001F3C8E">
              <w:rPr>
                <w:szCs w:val="24"/>
              </w:rPr>
              <w:t>.e.</w:t>
            </w:r>
          </w:p>
          <w:p w14:paraId="7A1C91F7" w14:textId="58486FDE" w:rsidR="00FB4C1F" w:rsidRPr="001F3C8E" w:rsidRDefault="00FB4C1F" w:rsidP="0095651B">
            <w:pPr>
              <w:jc w:val="center"/>
              <w:rPr>
                <w:szCs w:val="24"/>
              </w:rPr>
            </w:pPr>
            <w:r w:rsidRPr="001F3C8E">
              <w:rPr>
                <w:szCs w:val="24"/>
              </w:rPr>
              <w:t>1.f.</w:t>
            </w:r>
          </w:p>
        </w:tc>
      </w:tr>
      <w:tr w:rsidR="00293442" w:rsidRPr="008F1FBA" w14:paraId="1D3A4A0D" w14:textId="77777777" w:rsidTr="0095651B">
        <w:tc>
          <w:tcPr>
            <w:tcW w:w="8455" w:type="dxa"/>
          </w:tcPr>
          <w:p w14:paraId="0ED597BF" w14:textId="015C05EE" w:rsidR="00293442" w:rsidRPr="001F3C8E" w:rsidRDefault="00293442" w:rsidP="0095651B">
            <w:pPr>
              <w:jc w:val="left"/>
              <w:rPr>
                <w:szCs w:val="24"/>
              </w:rPr>
            </w:pPr>
            <w:r w:rsidRPr="001F3C8E">
              <w:rPr>
                <w:szCs w:val="24"/>
              </w:rPr>
              <w:t xml:space="preserve">The proposed site(s) is adjacent to a body of water (i.e., the border of the proposed site(s) is contiguous or partially contiguous to the body of </w:t>
            </w:r>
            <w:proofErr w:type="gramStart"/>
            <w:r w:rsidRPr="001F3C8E">
              <w:rPr>
                <w:szCs w:val="24"/>
              </w:rPr>
              <w:t>water, or</w:t>
            </w:r>
            <w:proofErr w:type="gramEnd"/>
            <w:r w:rsidRPr="001F3C8E">
              <w:rPr>
                <w:szCs w:val="24"/>
              </w:rPr>
              <w:t xml:space="preserve"> would be contiguous or partially contiguous with a body of water but for a street, road, or other public thoroughfare separating them).</w:t>
            </w:r>
          </w:p>
        </w:tc>
        <w:tc>
          <w:tcPr>
            <w:tcW w:w="895" w:type="dxa"/>
          </w:tcPr>
          <w:p w14:paraId="332B3FC5" w14:textId="7FF38253" w:rsidR="00293442" w:rsidRPr="001F3C8E" w:rsidRDefault="001B39C5" w:rsidP="0095651B">
            <w:pPr>
              <w:jc w:val="center"/>
              <w:rPr>
                <w:szCs w:val="24"/>
              </w:rPr>
            </w:pPr>
            <w:r w:rsidRPr="001F3C8E">
              <w:rPr>
                <w:szCs w:val="24"/>
              </w:rPr>
              <w:t>1.b.</w:t>
            </w:r>
          </w:p>
        </w:tc>
      </w:tr>
      <w:tr w:rsidR="00293442" w:rsidRPr="008F1FBA" w14:paraId="5851BC50" w14:textId="77777777" w:rsidTr="0095651B">
        <w:tc>
          <w:tcPr>
            <w:tcW w:w="8455" w:type="dxa"/>
          </w:tcPr>
          <w:p w14:paraId="60379443" w14:textId="342ADCFD" w:rsidR="00293442" w:rsidRPr="001F3C8E" w:rsidRDefault="00293442" w:rsidP="0095651B">
            <w:pPr>
              <w:jc w:val="left"/>
              <w:rPr>
                <w:szCs w:val="24"/>
              </w:rPr>
            </w:pPr>
            <w:r w:rsidRPr="001F3C8E">
              <w:rPr>
                <w:szCs w:val="24"/>
              </w:rPr>
              <w:t>The proposed site(s) is in a federally designated flood plain.</w:t>
            </w:r>
          </w:p>
        </w:tc>
        <w:tc>
          <w:tcPr>
            <w:tcW w:w="895" w:type="dxa"/>
          </w:tcPr>
          <w:p w14:paraId="4F3FA961" w14:textId="27204507" w:rsidR="00293442" w:rsidRPr="001F3C8E" w:rsidRDefault="001B39C5" w:rsidP="0095651B">
            <w:pPr>
              <w:jc w:val="center"/>
              <w:rPr>
                <w:szCs w:val="24"/>
              </w:rPr>
            </w:pPr>
            <w:r w:rsidRPr="001F3C8E">
              <w:rPr>
                <w:szCs w:val="24"/>
              </w:rPr>
              <w:t>1.b.</w:t>
            </w:r>
          </w:p>
        </w:tc>
      </w:tr>
      <w:tr w:rsidR="00293442" w:rsidRPr="008F1FBA" w14:paraId="46C49428" w14:textId="77777777" w:rsidTr="0095651B">
        <w:tc>
          <w:tcPr>
            <w:tcW w:w="8455" w:type="dxa"/>
          </w:tcPr>
          <w:p w14:paraId="52B22D3E" w14:textId="0AF99E88" w:rsidR="00293442" w:rsidRPr="001F3C8E" w:rsidRDefault="00293442" w:rsidP="0095651B">
            <w:pPr>
              <w:jc w:val="left"/>
              <w:rPr>
                <w:szCs w:val="24"/>
              </w:rPr>
            </w:pPr>
            <w:r w:rsidRPr="001F3C8E">
              <w:rPr>
                <w:szCs w:val="24"/>
              </w:rPr>
              <w:t>The reuse of the proposed cleanup site(s) will facilitate renewable energy from wind, solar, or geothermal energy.</w:t>
            </w:r>
          </w:p>
        </w:tc>
        <w:tc>
          <w:tcPr>
            <w:tcW w:w="895" w:type="dxa"/>
          </w:tcPr>
          <w:p w14:paraId="187E77BF" w14:textId="25CF4944" w:rsidR="00293442" w:rsidRPr="001F3C8E" w:rsidRDefault="00137F7E" w:rsidP="0095651B">
            <w:pPr>
              <w:jc w:val="center"/>
              <w:rPr>
                <w:szCs w:val="24"/>
              </w:rPr>
            </w:pPr>
            <w:r w:rsidRPr="001F3C8E">
              <w:rPr>
                <w:szCs w:val="24"/>
              </w:rPr>
              <w:t>TBD</w:t>
            </w:r>
          </w:p>
        </w:tc>
      </w:tr>
      <w:tr w:rsidR="00293442" w:rsidRPr="008F1FBA" w14:paraId="2509FA07" w14:textId="77777777" w:rsidTr="0095651B">
        <w:tc>
          <w:tcPr>
            <w:tcW w:w="8455" w:type="dxa"/>
          </w:tcPr>
          <w:p w14:paraId="7E749E17" w14:textId="0D9544E0" w:rsidR="0085293C" w:rsidRPr="001F3C8E" w:rsidRDefault="00293442" w:rsidP="00356AA0">
            <w:pPr>
              <w:jc w:val="left"/>
              <w:rPr>
                <w:szCs w:val="24"/>
              </w:rPr>
            </w:pPr>
            <w:r w:rsidRPr="001F3C8E">
              <w:rPr>
                <w:szCs w:val="24"/>
              </w:rPr>
              <w:t>The reuse of the proposed cleanup site(s) will incorporate energy efficiency measures.</w:t>
            </w:r>
          </w:p>
        </w:tc>
        <w:tc>
          <w:tcPr>
            <w:tcW w:w="895" w:type="dxa"/>
          </w:tcPr>
          <w:p w14:paraId="5AE1D735" w14:textId="70C6878E" w:rsidR="00293442" w:rsidRPr="001F3C8E" w:rsidRDefault="00666B4B" w:rsidP="0095651B">
            <w:pPr>
              <w:jc w:val="center"/>
              <w:rPr>
                <w:szCs w:val="24"/>
              </w:rPr>
            </w:pPr>
            <w:r w:rsidRPr="001F3C8E">
              <w:rPr>
                <w:szCs w:val="24"/>
              </w:rPr>
              <w:t>1.c.</w:t>
            </w:r>
          </w:p>
        </w:tc>
      </w:tr>
      <w:tr w:rsidR="00DE071F" w:rsidRPr="008F1FBA" w14:paraId="6991DBC6" w14:textId="77777777" w:rsidTr="0095651B">
        <w:tc>
          <w:tcPr>
            <w:tcW w:w="8455" w:type="dxa"/>
          </w:tcPr>
          <w:p w14:paraId="2991334C" w14:textId="68EC0C0C" w:rsidR="00DE071F" w:rsidRPr="001F3C8E" w:rsidRDefault="00DE071F" w:rsidP="00DE071F">
            <w:pPr>
              <w:jc w:val="left"/>
              <w:rPr>
                <w:szCs w:val="24"/>
              </w:rPr>
            </w:pPr>
            <w:r w:rsidRPr="001F3C8E">
              <w:rPr>
                <w:szCs w:val="24"/>
              </w:rPr>
              <w:t>The proposed project will improve local resilience to the impacts of extreme weather events and natural disasters.</w:t>
            </w:r>
          </w:p>
        </w:tc>
        <w:tc>
          <w:tcPr>
            <w:tcW w:w="895" w:type="dxa"/>
          </w:tcPr>
          <w:p w14:paraId="4269A2A8" w14:textId="328488CE" w:rsidR="00DE071F" w:rsidRPr="001F3C8E" w:rsidRDefault="00F0597D" w:rsidP="00DE071F">
            <w:pPr>
              <w:jc w:val="center"/>
              <w:rPr>
                <w:szCs w:val="24"/>
              </w:rPr>
            </w:pPr>
            <w:r w:rsidRPr="001F3C8E">
              <w:rPr>
                <w:szCs w:val="24"/>
              </w:rPr>
              <w:t>TBD</w:t>
            </w:r>
          </w:p>
        </w:tc>
      </w:tr>
      <w:tr w:rsidR="00293442" w:rsidRPr="008F1FBA" w14:paraId="493C8A2B" w14:textId="77777777" w:rsidTr="0095651B">
        <w:tc>
          <w:tcPr>
            <w:tcW w:w="8455" w:type="dxa"/>
          </w:tcPr>
          <w:p w14:paraId="1BA9257B" w14:textId="0C8131D3" w:rsidR="00293442" w:rsidRPr="001F3C8E" w:rsidRDefault="00293442" w:rsidP="0095651B">
            <w:pPr>
              <w:jc w:val="left"/>
              <w:rPr>
                <w:szCs w:val="24"/>
              </w:rPr>
            </w:pPr>
            <w:r w:rsidRPr="001F3C8E">
              <w:rPr>
                <w:szCs w:val="24"/>
              </w:rPr>
              <w:t>The target area(s) is impacted by a coal-fired power plant that has recently closed</w:t>
            </w:r>
            <w:r w:rsidR="0095651B" w:rsidRPr="001F3C8E">
              <w:rPr>
                <w:szCs w:val="24"/>
              </w:rPr>
              <w:t xml:space="preserve"> (201</w:t>
            </w:r>
            <w:r w:rsidR="00DE071F" w:rsidRPr="001F3C8E">
              <w:rPr>
                <w:szCs w:val="24"/>
              </w:rPr>
              <w:t>5</w:t>
            </w:r>
            <w:r w:rsidR="0095651B" w:rsidRPr="001F3C8E">
              <w:rPr>
                <w:szCs w:val="24"/>
              </w:rPr>
              <w:t xml:space="preserve"> or later)</w:t>
            </w:r>
            <w:r w:rsidRPr="001F3C8E">
              <w:rPr>
                <w:szCs w:val="24"/>
              </w:rPr>
              <w:t xml:space="preserve"> or is closing.</w:t>
            </w:r>
          </w:p>
        </w:tc>
        <w:tc>
          <w:tcPr>
            <w:tcW w:w="895" w:type="dxa"/>
          </w:tcPr>
          <w:p w14:paraId="430F9E66" w14:textId="6A4A0960" w:rsidR="00293442" w:rsidRPr="001F3C8E" w:rsidRDefault="00F0597D" w:rsidP="0095651B">
            <w:pPr>
              <w:jc w:val="center"/>
              <w:rPr>
                <w:szCs w:val="24"/>
              </w:rPr>
            </w:pPr>
            <w:r w:rsidRPr="001F3C8E">
              <w:rPr>
                <w:szCs w:val="24"/>
              </w:rPr>
              <w:t>N/A</w:t>
            </w:r>
          </w:p>
        </w:tc>
      </w:tr>
    </w:tbl>
    <w:p w14:paraId="44D0E4A2" w14:textId="2BC2F3D7" w:rsidR="001B1CC8" w:rsidRPr="001F3C8E" w:rsidRDefault="00E24AF6" w:rsidP="00B05C90">
      <w:pPr>
        <w:pStyle w:val="Heading1"/>
      </w:pPr>
      <w:r w:rsidRPr="001F3C8E">
        <w:t xml:space="preserve">9. </w:t>
      </w:r>
      <w:r w:rsidR="001B1CC8" w:rsidRPr="001F3C8E">
        <w:t>Releasing Copies of Applications</w:t>
      </w:r>
    </w:p>
    <w:p w14:paraId="58436996" w14:textId="3329F3F0" w:rsidR="007360BC" w:rsidRPr="001F3C8E" w:rsidRDefault="008A3BFF" w:rsidP="007360BC">
      <w:pPr>
        <w:pStyle w:val="Bullet1"/>
        <w:rPr>
          <w:szCs w:val="24"/>
        </w:rPr>
      </w:pPr>
      <w:r w:rsidRPr="001F3C8E">
        <w:rPr>
          <w:szCs w:val="24"/>
        </w:rPr>
        <w:t>N/A</w:t>
      </w:r>
    </w:p>
    <w:p w14:paraId="04F1C17F" w14:textId="77777777" w:rsidR="00A17346" w:rsidRPr="008F1FBA" w:rsidRDefault="00A17346" w:rsidP="007360BC">
      <w:pPr>
        <w:pStyle w:val="Bullet1"/>
        <w:numPr>
          <w:ilvl w:val="0"/>
          <w:numId w:val="0"/>
        </w:numPr>
        <w:ind w:left="720" w:hanging="360"/>
        <w:rPr>
          <w:szCs w:val="24"/>
        </w:rPr>
        <w:sectPr w:rsidR="00A17346" w:rsidRPr="008F1FBA" w:rsidSect="001736A8">
          <w:headerReference w:type="even" r:id="rId14"/>
          <w:headerReference w:type="default" r:id="rId15"/>
          <w:footerReference w:type="even" r:id="rId16"/>
          <w:footerReference w:type="default" r:id="rId17"/>
          <w:headerReference w:type="first" r:id="rId18"/>
          <w:footerReference w:type="first" r:id="rId19"/>
          <w:pgSz w:w="12240" w:h="15840" w:code="1"/>
          <w:pgMar w:top="720" w:right="1440" w:bottom="720" w:left="1440" w:header="360" w:footer="360" w:gutter="0"/>
          <w:cols w:space="720"/>
          <w:noEndnote/>
          <w:docGrid w:linePitch="360"/>
        </w:sectPr>
      </w:pPr>
    </w:p>
    <w:p w14:paraId="1E04361C" w14:textId="51107ABD" w:rsidR="001B1CC8" w:rsidRPr="001F3C8E" w:rsidRDefault="00994182" w:rsidP="0072423F">
      <w:pPr>
        <w:pStyle w:val="SectionTitle"/>
        <w:rPr>
          <w:sz w:val="24"/>
          <w:szCs w:val="24"/>
        </w:rPr>
      </w:pPr>
      <w:r w:rsidRPr="001F3C8E">
        <w:rPr>
          <w:sz w:val="24"/>
          <w:szCs w:val="24"/>
        </w:rPr>
        <w:lastRenderedPageBreak/>
        <w:t>NARRATIVE CRITERIA</w:t>
      </w:r>
    </w:p>
    <w:p w14:paraId="6DF3F51D" w14:textId="78635849" w:rsidR="001B1CC8" w:rsidRPr="001F3C8E" w:rsidRDefault="003F1E56" w:rsidP="00B05C90">
      <w:pPr>
        <w:pStyle w:val="Heading1"/>
      </w:pPr>
      <w:r w:rsidRPr="001F3C8E">
        <w:t xml:space="preserve">1. Project Area Description and Plans </w:t>
      </w:r>
      <w:r w:rsidR="00EB258D" w:rsidRPr="001F3C8E">
        <w:t>f</w:t>
      </w:r>
      <w:r w:rsidRPr="001F3C8E">
        <w:t>or Revitalization</w:t>
      </w:r>
    </w:p>
    <w:p w14:paraId="3E711F4D" w14:textId="5A0E9913" w:rsidR="001B1CC8" w:rsidRPr="001F3C8E" w:rsidRDefault="003F1E56" w:rsidP="00F4056D">
      <w:pPr>
        <w:pStyle w:val="Heading2"/>
      </w:pPr>
      <w:r w:rsidRPr="001F3C8E">
        <w:t>Target Area and Brownfields</w:t>
      </w:r>
    </w:p>
    <w:p w14:paraId="387F8DE2" w14:textId="0A084490" w:rsidR="00B449F7" w:rsidRPr="001F3C8E" w:rsidRDefault="009910F0" w:rsidP="00F4056D">
      <w:pPr>
        <w:pStyle w:val="Heading3"/>
      </w:pPr>
      <w:r w:rsidRPr="001F3C8E">
        <w:t>1.a.</w:t>
      </w:r>
      <w:r w:rsidR="001C3B0F" w:rsidRPr="001F3C8E">
        <w:t xml:space="preserve"> </w:t>
      </w:r>
      <w:bookmarkStart w:id="1" w:name="_Hlk220311059"/>
      <w:r w:rsidR="00B449F7" w:rsidRPr="001F3C8E">
        <w:t xml:space="preserve">Overview of Brownfield Challenges and Description of Target Area </w:t>
      </w:r>
      <w:bookmarkEnd w:id="1"/>
    </w:p>
    <w:p w14:paraId="16D60F19" w14:textId="387B757E" w:rsidR="00BC796B" w:rsidRPr="001F3C8E" w:rsidRDefault="00BC796B" w:rsidP="00BC796B">
      <w:pPr>
        <w:spacing w:before="40"/>
        <w:rPr>
          <w:szCs w:val="24"/>
        </w:rPr>
      </w:pPr>
      <w:r w:rsidRPr="001F3C8E">
        <w:rPr>
          <w:b/>
          <w:bCs/>
          <w:szCs w:val="24"/>
        </w:rPr>
        <w:t xml:space="preserve">The Township of Mullica (Mullica) requests a </w:t>
      </w:r>
      <w:r w:rsidRPr="001F3C8E">
        <w:rPr>
          <w:b/>
          <w:szCs w:val="24"/>
        </w:rPr>
        <w:t>$4,000,000</w:t>
      </w:r>
      <w:r w:rsidRPr="001F3C8E">
        <w:rPr>
          <w:b/>
          <w:bCs/>
          <w:szCs w:val="24"/>
        </w:rPr>
        <w:t xml:space="preserve"> U.S. Environmental Protection Agency (EPA) Brownfields Cleanup Grant to remediate priority </w:t>
      </w:r>
      <w:r w:rsidR="00D90CB3" w:rsidRPr="001F3C8E">
        <w:rPr>
          <w:b/>
          <w:bCs/>
          <w:szCs w:val="24"/>
        </w:rPr>
        <w:t>areas</w:t>
      </w:r>
      <w:r w:rsidRPr="001F3C8E">
        <w:rPr>
          <w:b/>
          <w:bCs/>
          <w:szCs w:val="24"/>
        </w:rPr>
        <w:t xml:space="preserve"> at the former Joseph Perona Scrapyard site (Perona Scrapyard</w:t>
      </w:r>
      <w:r w:rsidR="00147CC6" w:rsidRPr="001F3C8E">
        <w:rPr>
          <w:b/>
          <w:bCs/>
          <w:szCs w:val="24"/>
        </w:rPr>
        <w:t xml:space="preserve"> or the “Site”</w:t>
      </w:r>
      <w:r w:rsidRPr="001F3C8E">
        <w:rPr>
          <w:b/>
          <w:bCs/>
          <w:szCs w:val="24"/>
        </w:rPr>
        <w:t>) in Mullica, Atlantic County (the County), New Jersey.</w:t>
      </w:r>
      <w:r w:rsidRPr="001F3C8E">
        <w:rPr>
          <w:szCs w:val="24"/>
        </w:rPr>
        <w:t xml:space="preserve"> The County is largely rural (pop. 274,704; approx. 25 miles southeast of Philadelphia) and is a major agricultural hub producing New Jersey’s second most valuable agricultural harvest, totaling $149.9 million annually</w:t>
      </w:r>
      <w:r w:rsidR="00E43BEC">
        <w:rPr>
          <w:rStyle w:val="FootnoteReference"/>
          <w:szCs w:val="24"/>
        </w:rPr>
        <w:footnoteReference w:id="1"/>
      </w:r>
      <w:r w:rsidRPr="001F3C8E">
        <w:rPr>
          <w:szCs w:val="24"/>
        </w:rPr>
        <w:t xml:space="preserve"> (</w:t>
      </w:r>
      <w:r w:rsidR="006E3A34" w:rsidRPr="001F3C8E">
        <w:rPr>
          <w:szCs w:val="24"/>
        </w:rPr>
        <w:t>U.S. Department of Agriculture [</w:t>
      </w:r>
      <w:r w:rsidRPr="001F3C8E">
        <w:rPr>
          <w:szCs w:val="24"/>
        </w:rPr>
        <w:t>USDA</w:t>
      </w:r>
      <w:r w:rsidR="006E3A34" w:rsidRPr="001F3C8E">
        <w:rPr>
          <w:szCs w:val="24"/>
        </w:rPr>
        <w:t>]</w:t>
      </w:r>
      <w:r w:rsidRPr="001F3C8E">
        <w:rPr>
          <w:szCs w:val="24"/>
        </w:rPr>
        <w:t xml:space="preserve"> Census, 2022). The County encompasses approximately 247,877 acres of the </w:t>
      </w:r>
      <w:r w:rsidRPr="001F3C8E">
        <w:rPr>
          <w:b/>
          <w:bCs/>
          <w:szCs w:val="24"/>
        </w:rPr>
        <w:t>Pinelands National Reserve</w:t>
      </w:r>
      <w:r w:rsidR="00AB7473" w:rsidRPr="001F3C8E">
        <w:rPr>
          <w:b/>
          <w:bCs/>
          <w:szCs w:val="24"/>
        </w:rPr>
        <w:t xml:space="preserve"> (Pinelands)</w:t>
      </w:r>
      <w:r w:rsidRPr="001F3C8E">
        <w:rPr>
          <w:b/>
          <w:bCs/>
          <w:szCs w:val="24"/>
        </w:rPr>
        <w:t>, a 1.1 million-acre, ecologically sensitive biosphere underlain by aquifers containing an estimated 17 trillion gallons of freshwater</w:t>
      </w:r>
      <w:r w:rsidR="007A19EE" w:rsidRPr="001F3C8E">
        <w:rPr>
          <w:b/>
          <w:bCs/>
          <w:szCs w:val="24"/>
        </w:rPr>
        <w:t>,</w:t>
      </w:r>
      <w:r w:rsidRPr="001F3C8E">
        <w:rPr>
          <w:b/>
          <w:bCs/>
          <w:szCs w:val="24"/>
        </w:rPr>
        <w:t xml:space="preserve"> including the Target Area</w:t>
      </w:r>
      <w:r w:rsidRPr="001F3C8E">
        <w:rPr>
          <w:szCs w:val="24"/>
        </w:rPr>
        <w:t xml:space="preserve"> </w:t>
      </w:r>
      <w:r w:rsidRPr="001F3C8E">
        <w:rPr>
          <w:b/>
          <w:szCs w:val="24"/>
        </w:rPr>
        <w:t xml:space="preserve">(TA). </w:t>
      </w:r>
      <w:r w:rsidRPr="001F3C8E">
        <w:rPr>
          <w:b/>
          <w:bCs/>
          <w:szCs w:val="24"/>
        </w:rPr>
        <w:t>The TA encompasses the entirety of Mullica</w:t>
      </w:r>
      <w:r w:rsidR="007A19EE" w:rsidRPr="001F3C8E">
        <w:rPr>
          <w:b/>
          <w:bCs/>
          <w:szCs w:val="24"/>
        </w:rPr>
        <w:t xml:space="preserve"> </w:t>
      </w:r>
      <w:r w:rsidRPr="001F3C8E">
        <w:rPr>
          <w:b/>
          <w:bCs/>
          <w:szCs w:val="24"/>
        </w:rPr>
        <w:t>(56.58 square miles) and surrounding communities</w:t>
      </w:r>
      <w:r w:rsidRPr="001F3C8E">
        <w:rPr>
          <w:szCs w:val="24"/>
        </w:rPr>
        <w:t xml:space="preserve">, and is bounded to the west by Hammonton Township, the north by Washington Township, the east by Egg Harbor City, and south by Hamilton Township. The TA is situated along the Nortons Branch of Hammonton Creek and Mullica River corridor and lies entirely within the Pinelands. </w:t>
      </w:r>
    </w:p>
    <w:p w14:paraId="1A7075D9" w14:textId="377D8D55" w:rsidR="00BC796B" w:rsidRPr="001F3C8E" w:rsidRDefault="00BC796B" w:rsidP="001F3C8E">
      <w:pPr>
        <w:spacing w:before="40"/>
        <w:rPr>
          <w:szCs w:val="24"/>
        </w:rPr>
      </w:pPr>
      <w:r w:rsidRPr="001F3C8E">
        <w:rPr>
          <w:b/>
          <w:bCs/>
          <w:szCs w:val="24"/>
        </w:rPr>
        <w:t>Beginning in the late 1800s, the rural landscape powered Mullica’s economy</w:t>
      </w:r>
      <w:r w:rsidR="00C44B8D" w:rsidRPr="001F3C8E">
        <w:rPr>
          <w:b/>
          <w:bCs/>
          <w:szCs w:val="24"/>
        </w:rPr>
        <w:t>,</w:t>
      </w:r>
      <w:r w:rsidRPr="001F3C8E">
        <w:rPr>
          <w:b/>
          <w:bCs/>
          <w:szCs w:val="24"/>
        </w:rPr>
        <w:t xml:space="preserve"> which was rooted in small farms, sawmills, and a once</w:t>
      </w:r>
      <w:r w:rsidRPr="001F3C8E">
        <w:rPr>
          <w:rFonts w:ascii="Cambria Math" w:hAnsi="Cambria Math" w:cs="Cambria Math"/>
          <w:b/>
          <w:bCs/>
          <w:szCs w:val="24"/>
        </w:rPr>
        <w:t>‑</w:t>
      </w:r>
      <w:r w:rsidRPr="001F3C8E">
        <w:rPr>
          <w:b/>
          <w:bCs/>
          <w:szCs w:val="24"/>
        </w:rPr>
        <w:t xml:space="preserve">thriving viticulture industry, with more than 30 vineyards operating locally before insect infestations and Prohibition forced widespread abandonment. </w:t>
      </w:r>
      <w:r w:rsidRPr="001F3C8E">
        <w:rPr>
          <w:szCs w:val="24"/>
        </w:rPr>
        <w:t>Historical agricultural practices, now lost to large</w:t>
      </w:r>
      <w:r w:rsidR="008C7361" w:rsidRPr="001F3C8E">
        <w:rPr>
          <w:szCs w:val="24"/>
        </w:rPr>
        <w:t>-</w:t>
      </w:r>
      <w:r w:rsidRPr="001F3C8E">
        <w:rPr>
          <w:szCs w:val="24"/>
        </w:rPr>
        <w:t>scale consolida</w:t>
      </w:r>
      <w:r w:rsidR="00F96203">
        <w:rPr>
          <w:szCs w:val="24"/>
        </w:rPr>
        <w:t>tion</w:t>
      </w:r>
      <w:r w:rsidR="00061D91">
        <w:rPr>
          <w:szCs w:val="24"/>
        </w:rPr>
        <w:t>, s</w:t>
      </w:r>
      <w:r w:rsidR="00DE7796">
        <w:rPr>
          <w:szCs w:val="24"/>
        </w:rPr>
        <w:t xml:space="preserve">hort lived industrial </w:t>
      </w:r>
      <w:r w:rsidR="0091529E">
        <w:rPr>
          <w:szCs w:val="24"/>
        </w:rPr>
        <w:t>munitions plant</w:t>
      </w:r>
      <w:r w:rsidR="0091529E">
        <w:rPr>
          <w:rStyle w:val="FootnoteReference"/>
          <w:szCs w:val="24"/>
        </w:rPr>
        <w:footnoteReference w:id="2"/>
      </w:r>
      <w:r w:rsidR="00061D91">
        <w:rPr>
          <w:szCs w:val="24"/>
        </w:rPr>
        <w:t xml:space="preserve">, and a now </w:t>
      </w:r>
      <w:r w:rsidR="00061D91" w:rsidRPr="00735CFC">
        <w:rPr>
          <w:szCs w:val="24"/>
        </w:rPr>
        <w:t>defunct raceway</w:t>
      </w:r>
      <w:r w:rsidR="00061D91" w:rsidRPr="001F3C8E">
        <w:rPr>
          <w:rStyle w:val="FootnoteReference"/>
          <w:szCs w:val="24"/>
        </w:rPr>
        <w:footnoteReference w:id="3"/>
      </w:r>
      <w:r w:rsidR="00FB0ECB" w:rsidRPr="00735CFC">
        <w:rPr>
          <w:szCs w:val="24"/>
        </w:rPr>
        <w:t xml:space="preserve"> </w:t>
      </w:r>
      <w:r w:rsidR="00061D91" w:rsidRPr="00735CFC">
        <w:rPr>
          <w:szCs w:val="24"/>
        </w:rPr>
        <w:t xml:space="preserve">have </w:t>
      </w:r>
      <w:r w:rsidR="00376A75" w:rsidRPr="00735CFC">
        <w:rPr>
          <w:szCs w:val="24"/>
        </w:rPr>
        <w:t>scarred</w:t>
      </w:r>
      <w:r w:rsidR="00376A75">
        <w:rPr>
          <w:szCs w:val="24"/>
        </w:rPr>
        <w:t xml:space="preserve"> the landscape with </w:t>
      </w:r>
      <w:r w:rsidR="00FB0ECB">
        <w:rPr>
          <w:szCs w:val="24"/>
        </w:rPr>
        <w:t>persistent pesticides, lead-</w:t>
      </w:r>
      <w:r w:rsidR="00376A75">
        <w:rPr>
          <w:szCs w:val="24"/>
        </w:rPr>
        <w:t>arsenate</w:t>
      </w:r>
      <w:r w:rsidR="00FB0ECB">
        <w:rPr>
          <w:szCs w:val="24"/>
        </w:rPr>
        <w:t xml:space="preserve"> mixtures, and</w:t>
      </w:r>
      <w:r w:rsidR="00376A75">
        <w:rPr>
          <w:szCs w:val="24"/>
        </w:rPr>
        <w:t xml:space="preserve"> heavy metals </w:t>
      </w:r>
      <w:r w:rsidR="005045B0">
        <w:rPr>
          <w:szCs w:val="24"/>
        </w:rPr>
        <w:t xml:space="preserve">which now </w:t>
      </w:r>
      <w:r w:rsidRPr="001F3C8E">
        <w:rPr>
          <w:szCs w:val="24"/>
        </w:rPr>
        <w:t>contribute to</w:t>
      </w:r>
      <w:r w:rsidR="00061D91">
        <w:rPr>
          <w:szCs w:val="24"/>
        </w:rPr>
        <w:t xml:space="preserve"> the prevalence of legacy contamination and Brownfields within the TA</w:t>
      </w:r>
      <w:r w:rsidRPr="001F3C8E">
        <w:rPr>
          <w:szCs w:val="24"/>
        </w:rPr>
        <w:t xml:space="preserve">. </w:t>
      </w:r>
      <w:r w:rsidR="003C1BEB" w:rsidRPr="001F3C8E">
        <w:rPr>
          <w:b/>
          <w:bCs/>
          <w:szCs w:val="24"/>
        </w:rPr>
        <w:t>Brownfields affect the TA more than any other area in the County, as residents live closer to these sites,</w:t>
      </w:r>
      <w:r w:rsidR="003C1BEB" w:rsidRPr="001F3C8E">
        <w:rPr>
          <w:szCs w:val="24"/>
        </w:rPr>
        <w:t xml:space="preserve"> relied on the jobs they once provided, and now face heightened environmental and economic vulnerability following agricultural consolidation and job losses. Spanning over 99 acres, contaminated sites in the </w:t>
      </w:r>
      <w:r w:rsidR="003F719D" w:rsidRPr="001F3C8E">
        <w:rPr>
          <w:szCs w:val="24"/>
        </w:rPr>
        <w:t>TA</w:t>
      </w:r>
      <w:r w:rsidR="003C1BEB" w:rsidRPr="001F3C8E">
        <w:rPr>
          <w:szCs w:val="24"/>
        </w:rPr>
        <w:t xml:space="preserve"> contain hazardous levels of lead, PCBs, petroleum hydrocarbons, and other substances that pose significant human and ecological health risks.</w:t>
      </w:r>
      <w:r w:rsidR="00144BD6">
        <w:rPr>
          <w:szCs w:val="24"/>
        </w:rPr>
        <w:t xml:space="preserve"> </w:t>
      </w:r>
      <w:r w:rsidR="003F719D" w:rsidRPr="001F3C8E">
        <w:rPr>
          <w:b/>
          <w:bCs/>
          <w:szCs w:val="24"/>
        </w:rPr>
        <w:t>Mullica</w:t>
      </w:r>
      <w:r w:rsidRPr="001F3C8E">
        <w:rPr>
          <w:b/>
          <w:bCs/>
          <w:szCs w:val="24"/>
        </w:rPr>
        <w:t xml:space="preserve"> home to 5,815 residents</w:t>
      </w:r>
      <w:r w:rsidR="00641AA6" w:rsidRPr="001F3C8E">
        <w:rPr>
          <w:b/>
          <w:bCs/>
          <w:szCs w:val="24"/>
        </w:rPr>
        <w:t>,</w:t>
      </w:r>
      <w:r w:rsidRPr="001F3C8E">
        <w:rPr>
          <w:b/>
          <w:bCs/>
          <w:szCs w:val="24"/>
        </w:rPr>
        <w:t xml:space="preserve"> where 100% of the community relies on private wells for household drinking water due to a lack of municipal utility infrastructure.</w:t>
      </w:r>
      <w:r w:rsidR="00B0190E">
        <w:rPr>
          <w:b/>
          <w:bCs/>
          <w:szCs w:val="24"/>
        </w:rPr>
        <w:t xml:space="preserve"> </w:t>
      </w:r>
      <w:r w:rsidRPr="001F3C8E">
        <w:rPr>
          <w:b/>
          <w:bCs/>
          <w:szCs w:val="24"/>
        </w:rPr>
        <w:t xml:space="preserve">Further, these </w:t>
      </w:r>
      <w:r w:rsidR="00641AA6" w:rsidRPr="001F3C8E">
        <w:rPr>
          <w:b/>
          <w:bCs/>
          <w:szCs w:val="24"/>
        </w:rPr>
        <w:t>B</w:t>
      </w:r>
      <w:r w:rsidRPr="001F3C8E">
        <w:rPr>
          <w:b/>
          <w:bCs/>
          <w:szCs w:val="24"/>
        </w:rPr>
        <w:t>rownfields leave land idle and constrain economic development, which reduces tax revenue and creates a jobs desert.</w:t>
      </w:r>
      <w:r w:rsidRPr="001F3C8E">
        <w:rPr>
          <w:szCs w:val="24"/>
        </w:rPr>
        <w:t xml:space="preserve"> Today, 66% of employed Mullica residents commute outside of the municipality for work, and 41% work outside the County</w:t>
      </w:r>
      <w:r w:rsidR="006D71C6">
        <w:rPr>
          <w:rStyle w:val="FootnoteReference"/>
          <w:szCs w:val="24"/>
        </w:rPr>
        <w:footnoteReference w:id="4"/>
      </w:r>
      <w:r w:rsidRPr="001F3C8E">
        <w:rPr>
          <w:szCs w:val="24"/>
        </w:rPr>
        <w:t>. Because commuters buy groceries and gas elsewhere, small businesses lose revenue and local tax receipts decline,</w:t>
      </w:r>
      <w:r w:rsidRPr="008F1FBA">
        <w:rPr>
          <w:szCs w:val="24"/>
        </w:rPr>
        <w:t xml:space="preserve"> </w:t>
      </w:r>
      <w:r w:rsidRPr="001F3C8E">
        <w:rPr>
          <w:szCs w:val="24"/>
        </w:rPr>
        <w:t xml:space="preserve">which limits resources for </w:t>
      </w:r>
      <w:r w:rsidR="00C521E7" w:rsidRPr="001F3C8E">
        <w:rPr>
          <w:szCs w:val="24"/>
        </w:rPr>
        <w:t>S</w:t>
      </w:r>
      <w:r w:rsidRPr="001F3C8E">
        <w:rPr>
          <w:szCs w:val="24"/>
        </w:rPr>
        <w:t>ite reuse and economic recovery. Economic growth has further stagnated in the TA due to Pinelands development restrictions, lack of centralized infrastructure, and environmental disinvestment.</w:t>
      </w:r>
      <w:r w:rsidRPr="008F1FBA">
        <w:rPr>
          <w:szCs w:val="24"/>
        </w:rPr>
        <w:t xml:space="preserve"> </w:t>
      </w:r>
      <w:r w:rsidRPr="001F3C8E">
        <w:rPr>
          <w:szCs w:val="24"/>
        </w:rPr>
        <w:t xml:space="preserve">Brownfield redevelopment is therefore </w:t>
      </w:r>
      <w:r w:rsidR="004465B3" w:rsidRPr="001F3C8E">
        <w:rPr>
          <w:szCs w:val="24"/>
        </w:rPr>
        <w:t>Mullica</w:t>
      </w:r>
      <w:r w:rsidRPr="001F3C8E">
        <w:rPr>
          <w:szCs w:val="24"/>
        </w:rPr>
        <w:t xml:space="preserve">’s and </w:t>
      </w:r>
      <w:r w:rsidR="00034387" w:rsidRPr="001F3C8E">
        <w:rPr>
          <w:szCs w:val="24"/>
        </w:rPr>
        <w:t xml:space="preserve">the </w:t>
      </w:r>
      <w:r w:rsidRPr="001F3C8E">
        <w:rPr>
          <w:szCs w:val="24"/>
        </w:rPr>
        <w:t>County’s only option for economic recovery.</w:t>
      </w:r>
    </w:p>
    <w:p w14:paraId="033B2C96" w14:textId="319EC2F8" w:rsidR="00B449F7" w:rsidRPr="001F3C8E" w:rsidRDefault="009910F0" w:rsidP="00F4056D">
      <w:pPr>
        <w:pStyle w:val="Heading3"/>
      </w:pPr>
      <w:r w:rsidRPr="001F3C8E">
        <w:t>1.</w:t>
      </w:r>
      <w:r w:rsidR="008312A3" w:rsidRPr="001F3C8E">
        <w:t>b.</w:t>
      </w:r>
      <w:r w:rsidR="00B449F7" w:rsidRPr="001F3C8E">
        <w:t xml:space="preserve"> Description of the Proposed Brownfield Site(s) </w:t>
      </w:r>
    </w:p>
    <w:p w14:paraId="39B3AA8B" w14:textId="21E70957" w:rsidR="006602CE" w:rsidRPr="001F3C8E" w:rsidRDefault="006602CE" w:rsidP="002C4841">
      <w:pPr>
        <w:spacing w:after="0"/>
        <w:rPr>
          <w:szCs w:val="24"/>
        </w:rPr>
      </w:pPr>
      <w:r w:rsidRPr="001F3C8E">
        <w:rPr>
          <w:b/>
          <w:szCs w:val="24"/>
        </w:rPr>
        <w:t>The proposed cleanup site is the Perona Scrapyard</w:t>
      </w:r>
      <w:r w:rsidRPr="001F3C8E">
        <w:rPr>
          <w:szCs w:val="24"/>
        </w:rPr>
        <w:t xml:space="preserve">, located at 1801 Columbia Road, Mullica Township, Atlantic County, New Jersey. The </w:t>
      </w:r>
      <w:r w:rsidR="000D7C5E" w:rsidRPr="001F3C8E">
        <w:rPr>
          <w:szCs w:val="24"/>
        </w:rPr>
        <w:t xml:space="preserve">Site is designated Block 2401, Lot 10 by </w:t>
      </w:r>
      <w:r w:rsidR="00722F82" w:rsidRPr="001F3C8E">
        <w:rPr>
          <w:szCs w:val="24"/>
        </w:rPr>
        <w:t xml:space="preserve">Mullica </w:t>
      </w:r>
      <w:r w:rsidR="000D7C5E" w:rsidRPr="001F3C8E">
        <w:rPr>
          <w:szCs w:val="24"/>
        </w:rPr>
        <w:t xml:space="preserve">for tax purposes and </w:t>
      </w:r>
      <w:r w:rsidRPr="001F3C8E">
        <w:rPr>
          <w:szCs w:val="24"/>
        </w:rPr>
        <w:t>encompasses approximately 99 acres of vacant, partially forested land interspersed with cleared areas and designated wetlands. Two branches of the North Branch Tributary</w:t>
      </w:r>
      <w:r w:rsidR="00B07A22" w:rsidRPr="001F3C8E">
        <w:rPr>
          <w:szCs w:val="24"/>
        </w:rPr>
        <w:t xml:space="preserve"> of Hammonton Creek</w:t>
      </w:r>
      <w:r w:rsidRPr="001F3C8E">
        <w:rPr>
          <w:szCs w:val="24"/>
        </w:rPr>
        <w:t xml:space="preserve"> traverse the </w:t>
      </w:r>
      <w:r w:rsidR="000D7C5E" w:rsidRPr="001F3C8E">
        <w:rPr>
          <w:szCs w:val="24"/>
        </w:rPr>
        <w:t xml:space="preserve">Site </w:t>
      </w:r>
      <w:r w:rsidRPr="001F3C8E">
        <w:rPr>
          <w:szCs w:val="24"/>
        </w:rPr>
        <w:t xml:space="preserve">from northeast to southwest, ultimately draining </w:t>
      </w:r>
      <w:r w:rsidR="00174391" w:rsidRPr="001F3C8E">
        <w:rPr>
          <w:szCs w:val="24"/>
        </w:rPr>
        <w:t xml:space="preserve">north </w:t>
      </w:r>
      <w:r w:rsidR="002F2A35" w:rsidRPr="001F3C8E">
        <w:rPr>
          <w:szCs w:val="24"/>
        </w:rPr>
        <w:t>into</w:t>
      </w:r>
      <w:r w:rsidRPr="001F3C8E">
        <w:rPr>
          <w:szCs w:val="24"/>
        </w:rPr>
        <w:t xml:space="preserve"> the Mullica River, increasing the potential for contaminant migration to sensitive aquatic habitats</w:t>
      </w:r>
      <w:r w:rsidR="00932EF0" w:rsidRPr="001F3C8E">
        <w:rPr>
          <w:szCs w:val="24"/>
        </w:rPr>
        <w:t xml:space="preserve"> by 12% to 64% based on their proximity to the Site alone</w:t>
      </w:r>
      <w:r w:rsidR="00D93DE6" w:rsidRPr="001F3C8E">
        <w:rPr>
          <w:rStyle w:val="FootnoteReference"/>
          <w:sz w:val="24"/>
          <w:szCs w:val="24"/>
        </w:rPr>
        <w:footnoteReference w:id="5"/>
      </w:r>
      <w:r w:rsidRPr="001F3C8E">
        <w:rPr>
          <w:szCs w:val="24"/>
        </w:rPr>
        <w:t>.</w:t>
      </w:r>
    </w:p>
    <w:p w14:paraId="3CA2652C" w14:textId="4D10F2C4" w:rsidR="006602CE" w:rsidRPr="001F3C8E" w:rsidRDefault="006602CE" w:rsidP="002C4841">
      <w:pPr>
        <w:spacing w:after="0"/>
        <w:rPr>
          <w:szCs w:val="24"/>
        </w:rPr>
      </w:pPr>
      <w:r w:rsidRPr="001F3C8E">
        <w:rPr>
          <w:b/>
          <w:szCs w:val="24"/>
        </w:rPr>
        <w:t>The</w:t>
      </w:r>
      <w:r w:rsidR="004F5083" w:rsidRPr="001F3C8E">
        <w:rPr>
          <w:b/>
          <w:szCs w:val="24"/>
        </w:rPr>
        <w:t xml:space="preserve"> S</w:t>
      </w:r>
      <w:r w:rsidRPr="001F3C8E">
        <w:rPr>
          <w:b/>
          <w:szCs w:val="24"/>
        </w:rPr>
        <w:t xml:space="preserve">ite was used for agricultural purposes until the early 1970s, when the Perona Scrapyard began operations. For </w:t>
      </w:r>
      <w:r w:rsidR="00806729" w:rsidRPr="001F3C8E">
        <w:rPr>
          <w:b/>
          <w:szCs w:val="24"/>
        </w:rPr>
        <w:t xml:space="preserve">approximately </w:t>
      </w:r>
      <w:r w:rsidRPr="001F3C8E">
        <w:rPr>
          <w:b/>
          <w:szCs w:val="24"/>
        </w:rPr>
        <w:t xml:space="preserve">two decades, </w:t>
      </w:r>
      <w:r w:rsidR="00271EB8" w:rsidRPr="001F3C8E">
        <w:rPr>
          <w:b/>
          <w:szCs w:val="24"/>
        </w:rPr>
        <w:t>operations</w:t>
      </w:r>
      <w:r w:rsidRPr="001F3C8E">
        <w:rPr>
          <w:b/>
          <w:szCs w:val="24"/>
        </w:rPr>
        <w:t xml:space="preserve"> included wire burning</w:t>
      </w:r>
      <w:r w:rsidR="00806684" w:rsidRPr="001F3C8E">
        <w:rPr>
          <w:b/>
          <w:szCs w:val="24"/>
        </w:rPr>
        <w:t>/l</w:t>
      </w:r>
      <w:r w:rsidRPr="001F3C8E">
        <w:rPr>
          <w:b/>
          <w:szCs w:val="24"/>
        </w:rPr>
        <w:t>ead smelting, extensive tire storage</w:t>
      </w:r>
      <w:r w:rsidR="00806684" w:rsidRPr="001F3C8E">
        <w:rPr>
          <w:b/>
          <w:szCs w:val="24"/>
        </w:rPr>
        <w:t>/</w:t>
      </w:r>
      <w:r w:rsidRPr="001F3C8E">
        <w:rPr>
          <w:b/>
          <w:szCs w:val="24"/>
        </w:rPr>
        <w:t xml:space="preserve">burning, and open disposal of solid waste and </w:t>
      </w:r>
      <w:r w:rsidR="00806684" w:rsidRPr="001F3C8E">
        <w:rPr>
          <w:b/>
          <w:szCs w:val="24"/>
        </w:rPr>
        <w:t>petroleum products</w:t>
      </w:r>
      <w:r w:rsidR="005A25E0">
        <w:rPr>
          <w:szCs w:val="24"/>
        </w:rPr>
        <w:t xml:space="preserve">. </w:t>
      </w:r>
      <w:r w:rsidRPr="001F3C8E">
        <w:rPr>
          <w:szCs w:val="24"/>
        </w:rPr>
        <w:t xml:space="preserve">Mullica acquired the property through tax foreclosure on </w:t>
      </w:r>
      <w:r w:rsidRPr="001F3C8E">
        <w:rPr>
          <w:szCs w:val="24"/>
        </w:rPr>
        <w:lastRenderedPageBreak/>
        <w:t>December 1, 2008</w:t>
      </w:r>
      <w:r w:rsidR="00722F82" w:rsidRPr="001F3C8E">
        <w:rPr>
          <w:szCs w:val="24"/>
        </w:rPr>
        <w:t>,</w:t>
      </w:r>
      <w:r w:rsidRPr="001F3C8E">
        <w:rPr>
          <w:szCs w:val="24"/>
        </w:rPr>
        <w:t xml:space="preserve"> and is exempt from Spill Act liability under New Jersey law. The </w:t>
      </w:r>
      <w:r w:rsidR="00722F82" w:rsidRPr="001F3C8E">
        <w:rPr>
          <w:szCs w:val="24"/>
        </w:rPr>
        <w:t>S</w:t>
      </w:r>
      <w:r w:rsidRPr="001F3C8E">
        <w:rPr>
          <w:szCs w:val="24"/>
        </w:rPr>
        <w:t>ite is not listed on the National Priorities List (NPL)</w:t>
      </w:r>
      <w:r w:rsidR="00722F82" w:rsidRPr="001F3C8E">
        <w:rPr>
          <w:szCs w:val="24"/>
        </w:rPr>
        <w:t>,</w:t>
      </w:r>
      <w:r w:rsidRPr="001F3C8E">
        <w:rPr>
          <w:szCs w:val="24"/>
        </w:rPr>
        <w:t xml:space="preserve"> and cleanup will proceed under </w:t>
      </w:r>
      <w:r w:rsidR="00D9541C" w:rsidRPr="001F3C8E">
        <w:rPr>
          <w:szCs w:val="24"/>
        </w:rPr>
        <w:t xml:space="preserve">the oversight of the </w:t>
      </w:r>
      <w:r w:rsidR="00E43F7B" w:rsidRPr="001F3C8E">
        <w:rPr>
          <w:szCs w:val="24"/>
        </w:rPr>
        <w:t>New</w:t>
      </w:r>
      <w:r w:rsidR="005B172E" w:rsidRPr="001F3C8E">
        <w:rPr>
          <w:szCs w:val="24"/>
        </w:rPr>
        <w:t xml:space="preserve"> Jersey Department of Environmental Protection (</w:t>
      </w:r>
      <w:r w:rsidRPr="001F3C8E">
        <w:rPr>
          <w:szCs w:val="24"/>
        </w:rPr>
        <w:t>NJDEP</w:t>
      </w:r>
      <w:r w:rsidR="005B172E" w:rsidRPr="001F3C8E">
        <w:rPr>
          <w:szCs w:val="24"/>
        </w:rPr>
        <w:t>)</w:t>
      </w:r>
      <w:r w:rsidRPr="001F3C8E">
        <w:rPr>
          <w:szCs w:val="24"/>
        </w:rPr>
        <w:t xml:space="preserve"> </w:t>
      </w:r>
      <w:r w:rsidR="00D9541C" w:rsidRPr="001F3C8E">
        <w:rPr>
          <w:szCs w:val="24"/>
        </w:rPr>
        <w:t xml:space="preserve">Contaminated Site Remediation and Redevelopment Program (CSRRP) and the </w:t>
      </w:r>
      <w:r w:rsidR="0020418C" w:rsidRPr="001F3C8E">
        <w:rPr>
          <w:szCs w:val="24"/>
        </w:rPr>
        <w:t xml:space="preserve">Mullica’s </w:t>
      </w:r>
      <w:r w:rsidR="00D9541C" w:rsidRPr="001F3C8E">
        <w:rPr>
          <w:szCs w:val="24"/>
        </w:rPr>
        <w:t>designated Licensed Site Remediation Professional (LSRP)</w:t>
      </w:r>
      <w:r w:rsidRPr="001F3C8E">
        <w:rPr>
          <w:szCs w:val="24"/>
        </w:rPr>
        <w:t>.</w:t>
      </w:r>
    </w:p>
    <w:p w14:paraId="1AD3F231" w14:textId="4FAA4A16" w:rsidR="004738E9" w:rsidRPr="001F3C8E" w:rsidRDefault="006602CE" w:rsidP="002C4841">
      <w:pPr>
        <w:spacing w:after="0"/>
        <w:rPr>
          <w:szCs w:val="24"/>
        </w:rPr>
      </w:pPr>
      <w:r w:rsidRPr="001F3C8E">
        <w:rPr>
          <w:b/>
          <w:szCs w:val="24"/>
        </w:rPr>
        <w:t>Investigations initiated in the late 1980s and continuing through the 2000s</w:t>
      </w:r>
      <w:r w:rsidRPr="001F3C8E">
        <w:rPr>
          <w:bCs/>
          <w:szCs w:val="24"/>
        </w:rPr>
        <w:t xml:space="preserve"> </w:t>
      </w:r>
      <w:r w:rsidR="00806684" w:rsidRPr="001F3C8E">
        <w:rPr>
          <w:bCs/>
          <w:szCs w:val="24"/>
        </w:rPr>
        <w:t>(</w:t>
      </w:r>
      <w:r w:rsidRPr="001F3C8E">
        <w:rPr>
          <w:bCs/>
          <w:szCs w:val="24"/>
        </w:rPr>
        <w:t xml:space="preserve">NJDEP </w:t>
      </w:r>
      <w:r w:rsidR="00A541DB" w:rsidRPr="001F3C8E">
        <w:rPr>
          <w:bCs/>
          <w:szCs w:val="24"/>
        </w:rPr>
        <w:t>CSRRP</w:t>
      </w:r>
      <w:r w:rsidRPr="001F3C8E">
        <w:rPr>
          <w:bCs/>
          <w:szCs w:val="24"/>
        </w:rPr>
        <w:t xml:space="preserve"> Interest No. G000000472)</w:t>
      </w:r>
      <w:r w:rsidR="00736E34" w:rsidRPr="001F3C8E">
        <w:rPr>
          <w:bCs/>
          <w:szCs w:val="24"/>
        </w:rPr>
        <w:t>, including a New Jersey Hazardous Discharge Site Remediation Fund (HDSRF)</w:t>
      </w:r>
      <w:r w:rsidR="004323C7" w:rsidRPr="001F3C8E">
        <w:rPr>
          <w:bCs/>
          <w:szCs w:val="24"/>
        </w:rPr>
        <w:t>-</w:t>
      </w:r>
      <w:r w:rsidR="00736E34" w:rsidRPr="001F3C8E">
        <w:rPr>
          <w:bCs/>
          <w:szCs w:val="24"/>
        </w:rPr>
        <w:t>supported</w:t>
      </w:r>
      <w:r w:rsidR="00C93750" w:rsidRPr="001F3C8E">
        <w:rPr>
          <w:bCs/>
          <w:szCs w:val="24"/>
        </w:rPr>
        <w:t xml:space="preserve"> Preliminary Assessment </w:t>
      </w:r>
      <w:r w:rsidR="00EF0354" w:rsidRPr="001F3C8E">
        <w:rPr>
          <w:bCs/>
          <w:szCs w:val="24"/>
        </w:rPr>
        <w:t>in 20</w:t>
      </w:r>
      <w:r w:rsidR="00470536">
        <w:rPr>
          <w:bCs/>
          <w:szCs w:val="24"/>
        </w:rPr>
        <w:t>0</w:t>
      </w:r>
      <w:r w:rsidR="00EF0354" w:rsidRPr="001F3C8E">
        <w:rPr>
          <w:bCs/>
          <w:szCs w:val="24"/>
        </w:rPr>
        <w:t xml:space="preserve">1 and Site Investigation </w:t>
      </w:r>
      <w:r w:rsidR="00DC2B6E" w:rsidRPr="001F3C8E">
        <w:rPr>
          <w:bCs/>
          <w:szCs w:val="24"/>
        </w:rPr>
        <w:t xml:space="preserve">(i.e., Phase II equivalent) </w:t>
      </w:r>
      <w:r w:rsidR="00EF0354" w:rsidRPr="001F3C8E">
        <w:rPr>
          <w:bCs/>
          <w:szCs w:val="24"/>
        </w:rPr>
        <w:t>in 2003</w:t>
      </w:r>
      <w:r w:rsidRPr="001F3C8E">
        <w:rPr>
          <w:bCs/>
          <w:szCs w:val="24"/>
        </w:rPr>
        <w:t xml:space="preserve"> </w:t>
      </w:r>
      <w:r w:rsidR="00806684" w:rsidRPr="001F3C8E">
        <w:rPr>
          <w:bCs/>
          <w:szCs w:val="24"/>
        </w:rPr>
        <w:t xml:space="preserve">which </w:t>
      </w:r>
      <w:r w:rsidRPr="001F3C8E">
        <w:rPr>
          <w:b/>
          <w:szCs w:val="24"/>
        </w:rPr>
        <w:t xml:space="preserve">confirmed the presence of hazardous substances including lead, zinc, copper, </w:t>
      </w:r>
      <w:bookmarkStart w:id="2" w:name="_Hlk220265330"/>
      <w:r w:rsidRPr="001F3C8E">
        <w:rPr>
          <w:b/>
          <w:szCs w:val="24"/>
        </w:rPr>
        <w:t xml:space="preserve">PCBs, </w:t>
      </w:r>
      <w:bookmarkEnd w:id="2"/>
      <w:r w:rsidR="00A541DB" w:rsidRPr="001F3C8E">
        <w:rPr>
          <w:b/>
          <w:szCs w:val="24"/>
        </w:rPr>
        <w:t>polycyclic aromatic hydrocarbons (</w:t>
      </w:r>
      <w:r w:rsidRPr="001F3C8E">
        <w:rPr>
          <w:b/>
          <w:szCs w:val="24"/>
        </w:rPr>
        <w:t>PAHs</w:t>
      </w:r>
      <w:r w:rsidR="00A541DB" w:rsidRPr="001F3C8E">
        <w:rPr>
          <w:b/>
          <w:szCs w:val="24"/>
        </w:rPr>
        <w:t>)</w:t>
      </w:r>
      <w:r w:rsidRPr="001F3C8E">
        <w:rPr>
          <w:b/>
          <w:szCs w:val="24"/>
        </w:rPr>
        <w:t xml:space="preserve">, phthalates, </w:t>
      </w:r>
      <w:r w:rsidR="00A541DB" w:rsidRPr="001F3C8E">
        <w:rPr>
          <w:b/>
          <w:szCs w:val="24"/>
        </w:rPr>
        <w:t>petroleum hydrocarbons</w:t>
      </w:r>
      <w:r w:rsidRPr="001F3C8E">
        <w:rPr>
          <w:b/>
          <w:szCs w:val="24"/>
        </w:rPr>
        <w:t>, pesticides, and dioxins/furans in soils and sediments</w:t>
      </w:r>
      <w:r w:rsidRPr="001F3C8E">
        <w:rPr>
          <w:bCs/>
          <w:szCs w:val="24"/>
        </w:rPr>
        <w:t>.</w:t>
      </w:r>
      <w:r w:rsidRPr="001F3C8E">
        <w:rPr>
          <w:szCs w:val="24"/>
        </w:rPr>
        <w:t xml:space="preserve"> </w:t>
      </w:r>
      <w:r w:rsidR="003519DC" w:rsidRPr="001F3C8E">
        <w:rPr>
          <w:szCs w:val="24"/>
        </w:rPr>
        <w:t>In addition, groundwater has been impacted by metals</w:t>
      </w:r>
      <w:r w:rsidR="00345A71" w:rsidRPr="001F3C8E">
        <w:rPr>
          <w:szCs w:val="24"/>
        </w:rPr>
        <w:t>,</w:t>
      </w:r>
      <w:r w:rsidR="00B05396" w:rsidRPr="001F3C8E">
        <w:rPr>
          <w:szCs w:val="24"/>
        </w:rPr>
        <w:t xml:space="preserve"> and s</w:t>
      </w:r>
      <w:r w:rsidR="00980286" w:rsidRPr="001F3C8E">
        <w:rPr>
          <w:szCs w:val="24"/>
        </w:rPr>
        <w:t xml:space="preserve">tormwater </w:t>
      </w:r>
      <w:r w:rsidRPr="001F3C8E">
        <w:rPr>
          <w:szCs w:val="24"/>
        </w:rPr>
        <w:t xml:space="preserve">runoff </w:t>
      </w:r>
      <w:r w:rsidR="00980286" w:rsidRPr="001F3C8E">
        <w:rPr>
          <w:szCs w:val="24"/>
        </w:rPr>
        <w:t xml:space="preserve">has </w:t>
      </w:r>
      <w:r w:rsidRPr="001F3C8E">
        <w:rPr>
          <w:szCs w:val="24"/>
        </w:rPr>
        <w:t xml:space="preserve">transported </w:t>
      </w:r>
      <w:r w:rsidR="00980286" w:rsidRPr="001F3C8E">
        <w:rPr>
          <w:szCs w:val="24"/>
        </w:rPr>
        <w:t xml:space="preserve">Site </w:t>
      </w:r>
      <w:r w:rsidRPr="001F3C8E">
        <w:rPr>
          <w:szCs w:val="24"/>
        </w:rPr>
        <w:t xml:space="preserve">contaminants </w:t>
      </w:r>
      <w:r w:rsidR="00806684" w:rsidRPr="001F3C8E">
        <w:rPr>
          <w:szCs w:val="24"/>
        </w:rPr>
        <w:t xml:space="preserve">to </w:t>
      </w:r>
      <w:r w:rsidR="00293781" w:rsidRPr="001F3C8E">
        <w:rPr>
          <w:szCs w:val="24"/>
        </w:rPr>
        <w:t xml:space="preserve">sediments within the </w:t>
      </w:r>
      <w:r w:rsidR="00030951" w:rsidRPr="001F3C8E">
        <w:rPr>
          <w:szCs w:val="24"/>
        </w:rPr>
        <w:t>Nortons Branch</w:t>
      </w:r>
      <w:r w:rsidR="00293781" w:rsidRPr="001F3C8E">
        <w:rPr>
          <w:szCs w:val="24"/>
        </w:rPr>
        <w:t xml:space="preserve"> (PCBs at 1.59</w:t>
      </w:r>
      <w:r w:rsidR="004A5C21" w:rsidRPr="001F3C8E">
        <w:rPr>
          <w:szCs w:val="24"/>
        </w:rPr>
        <w:t> milligrams per kilogram</w:t>
      </w:r>
      <w:r w:rsidR="00293781" w:rsidRPr="001F3C8E">
        <w:rPr>
          <w:szCs w:val="24"/>
        </w:rPr>
        <w:t xml:space="preserve"> </w:t>
      </w:r>
      <w:r w:rsidR="004A5C21" w:rsidRPr="001F3C8E">
        <w:rPr>
          <w:szCs w:val="24"/>
        </w:rPr>
        <w:t>[</w:t>
      </w:r>
      <w:r w:rsidR="00293781" w:rsidRPr="001F3C8E">
        <w:rPr>
          <w:szCs w:val="24"/>
        </w:rPr>
        <w:t>mg/kg</w:t>
      </w:r>
      <w:r w:rsidR="004A5C21" w:rsidRPr="001F3C8E">
        <w:rPr>
          <w:szCs w:val="24"/>
        </w:rPr>
        <w:t>]</w:t>
      </w:r>
      <w:r w:rsidR="00293781" w:rsidRPr="001F3C8E">
        <w:rPr>
          <w:szCs w:val="24"/>
        </w:rPr>
        <w:t xml:space="preserve"> and lead at 864 mg/kg)</w:t>
      </w:r>
      <w:r w:rsidR="004738E9" w:rsidRPr="001F3C8E">
        <w:rPr>
          <w:rStyle w:val="FootnoteReference"/>
          <w:sz w:val="24"/>
          <w:szCs w:val="24"/>
        </w:rPr>
        <w:footnoteReference w:id="6"/>
      </w:r>
      <w:r w:rsidR="00AE550A" w:rsidRPr="001F3C8E">
        <w:rPr>
          <w:szCs w:val="24"/>
        </w:rPr>
        <w:t>.</w:t>
      </w:r>
      <w:r w:rsidR="004738E9" w:rsidRPr="001F3C8E">
        <w:rPr>
          <w:szCs w:val="24"/>
        </w:rPr>
        <w:t xml:space="preserve"> </w:t>
      </w:r>
      <w:r w:rsidR="00B05396" w:rsidRPr="001F3C8E">
        <w:rPr>
          <w:szCs w:val="24"/>
        </w:rPr>
        <w:t>Contamination was</w:t>
      </w:r>
      <w:r w:rsidR="004738E9" w:rsidRPr="001F3C8E">
        <w:rPr>
          <w:szCs w:val="24"/>
        </w:rPr>
        <w:t xml:space="preserve"> further</w:t>
      </w:r>
      <w:r w:rsidR="00B05396" w:rsidRPr="001F3C8E">
        <w:rPr>
          <w:szCs w:val="24"/>
        </w:rPr>
        <w:t xml:space="preserve"> exacerbated by a major tire fire in 1986</w:t>
      </w:r>
      <w:r w:rsidR="00CC30CB" w:rsidRPr="001F3C8E">
        <w:rPr>
          <w:szCs w:val="24"/>
        </w:rPr>
        <w:t xml:space="preserve">. </w:t>
      </w:r>
    </w:p>
    <w:p w14:paraId="09F347EC" w14:textId="09D28E58" w:rsidR="00B024E9" w:rsidRPr="001F3C8E" w:rsidRDefault="00FE32C1" w:rsidP="0088310F">
      <w:pPr>
        <w:rPr>
          <w:szCs w:val="24"/>
        </w:rPr>
      </w:pPr>
      <w:r w:rsidRPr="001F3C8E">
        <w:rPr>
          <w:b/>
          <w:bCs/>
          <w:szCs w:val="24"/>
        </w:rPr>
        <w:t>L</w:t>
      </w:r>
      <w:r w:rsidR="006602CE" w:rsidRPr="001F3C8E">
        <w:rPr>
          <w:b/>
          <w:bCs/>
          <w:szCs w:val="24"/>
        </w:rPr>
        <w:t>arge-scale tire removals</w:t>
      </w:r>
      <w:r w:rsidR="00AD78C3" w:rsidRPr="001F3C8E">
        <w:rPr>
          <w:b/>
          <w:bCs/>
          <w:szCs w:val="24"/>
        </w:rPr>
        <w:t xml:space="preserve"> completed</w:t>
      </w:r>
      <w:r w:rsidR="006602CE" w:rsidRPr="001F3C8E">
        <w:rPr>
          <w:b/>
          <w:bCs/>
          <w:szCs w:val="24"/>
        </w:rPr>
        <w:t xml:space="preserve"> in</w:t>
      </w:r>
      <w:r w:rsidR="00953707" w:rsidRPr="001F3C8E">
        <w:rPr>
          <w:b/>
          <w:bCs/>
          <w:szCs w:val="24"/>
        </w:rPr>
        <w:t xml:space="preserve"> 2002</w:t>
      </w:r>
      <w:r w:rsidR="003209E9" w:rsidRPr="001F3C8E">
        <w:rPr>
          <w:b/>
          <w:bCs/>
          <w:szCs w:val="24"/>
        </w:rPr>
        <w:t>,</w:t>
      </w:r>
      <w:r w:rsidR="006602CE" w:rsidRPr="001F3C8E">
        <w:rPr>
          <w:b/>
          <w:bCs/>
          <w:szCs w:val="24"/>
        </w:rPr>
        <w:t xml:space="preserve"> 2006</w:t>
      </w:r>
      <w:r w:rsidR="00EC34CF" w:rsidRPr="001F3C8E">
        <w:rPr>
          <w:b/>
          <w:bCs/>
          <w:szCs w:val="24"/>
        </w:rPr>
        <w:t xml:space="preserve">, </w:t>
      </w:r>
      <w:r w:rsidR="006602CE" w:rsidRPr="001F3C8E">
        <w:rPr>
          <w:b/>
          <w:bCs/>
          <w:szCs w:val="24"/>
        </w:rPr>
        <w:t>and 2010</w:t>
      </w:r>
      <w:r w:rsidR="00686F05" w:rsidRPr="001F3C8E">
        <w:rPr>
          <w:b/>
          <w:bCs/>
          <w:szCs w:val="24"/>
        </w:rPr>
        <w:t xml:space="preserve"> </w:t>
      </w:r>
      <w:r w:rsidR="00AD78C3" w:rsidRPr="001F3C8E">
        <w:rPr>
          <w:b/>
          <w:bCs/>
          <w:szCs w:val="24"/>
        </w:rPr>
        <w:t xml:space="preserve">removed </w:t>
      </w:r>
      <w:r w:rsidR="00290DF3" w:rsidRPr="001F3C8E">
        <w:rPr>
          <w:b/>
          <w:bCs/>
          <w:szCs w:val="24"/>
        </w:rPr>
        <w:t xml:space="preserve">approximately </w:t>
      </w:r>
      <w:r w:rsidR="00FF225D" w:rsidRPr="001F3C8E">
        <w:rPr>
          <w:b/>
          <w:bCs/>
          <w:szCs w:val="24"/>
        </w:rPr>
        <w:t>336,000 tires from the Site</w:t>
      </w:r>
      <w:r w:rsidR="00686F05" w:rsidRPr="001F3C8E">
        <w:rPr>
          <w:rStyle w:val="FootnoteReference"/>
          <w:b/>
          <w:bCs/>
          <w:sz w:val="24"/>
          <w:szCs w:val="24"/>
        </w:rPr>
        <w:footnoteReference w:id="7"/>
      </w:r>
      <w:r w:rsidR="003B18BC" w:rsidRPr="001F3C8E">
        <w:rPr>
          <w:szCs w:val="24"/>
        </w:rPr>
        <w:t xml:space="preserve">; however, </w:t>
      </w:r>
      <w:r w:rsidR="00827599" w:rsidRPr="001F3C8E">
        <w:rPr>
          <w:szCs w:val="24"/>
        </w:rPr>
        <w:t>significant</w:t>
      </w:r>
      <w:r w:rsidR="006602CE" w:rsidRPr="001F3C8E">
        <w:rPr>
          <w:szCs w:val="24"/>
        </w:rPr>
        <w:t xml:space="preserve"> residual contamination </w:t>
      </w:r>
      <w:r w:rsidR="00983C80">
        <w:rPr>
          <w:szCs w:val="24"/>
        </w:rPr>
        <w:t>remained</w:t>
      </w:r>
      <w:r w:rsidR="006602CE" w:rsidRPr="001F3C8E">
        <w:rPr>
          <w:szCs w:val="24"/>
        </w:rPr>
        <w:t>.</w:t>
      </w:r>
      <w:r w:rsidR="002E1712" w:rsidRPr="001F3C8E">
        <w:rPr>
          <w:szCs w:val="24"/>
        </w:rPr>
        <w:t xml:space="preserve"> </w:t>
      </w:r>
      <w:r w:rsidR="003F1C52" w:rsidRPr="001F3C8E">
        <w:rPr>
          <w:szCs w:val="24"/>
        </w:rPr>
        <w:t xml:space="preserve">Solid waste segregation and removal activities were completed by </w:t>
      </w:r>
      <w:r w:rsidR="002E6D08" w:rsidRPr="001F3C8E">
        <w:rPr>
          <w:szCs w:val="24"/>
        </w:rPr>
        <w:t>Mullica</w:t>
      </w:r>
      <w:r w:rsidR="003F1C52" w:rsidRPr="001F3C8E">
        <w:rPr>
          <w:szCs w:val="24"/>
        </w:rPr>
        <w:t xml:space="preserve"> in 2025 resulting in </w:t>
      </w:r>
      <w:r w:rsidR="009D3898" w:rsidRPr="001F3C8E">
        <w:rPr>
          <w:szCs w:val="24"/>
        </w:rPr>
        <w:t>one</w:t>
      </w:r>
      <w:r w:rsidR="003F1C52" w:rsidRPr="001F3C8E">
        <w:rPr>
          <w:szCs w:val="24"/>
        </w:rPr>
        <w:t xml:space="preserve"> large</w:t>
      </w:r>
      <w:r w:rsidR="002E6D08" w:rsidRPr="001F3C8E">
        <w:rPr>
          <w:szCs w:val="24"/>
        </w:rPr>
        <w:t>-</w:t>
      </w:r>
      <w:r w:rsidR="003F1C52" w:rsidRPr="001F3C8E">
        <w:rPr>
          <w:szCs w:val="24"/>
        </w:rPr>
        <w:t>scale stockpile approximately 15 feet tall. Waste characterization</w:t>
      </w:r>
      <w:r w:rsidR="00DB3C6B">
        <w:rPr>
          <w:szCs w:val="24"/>
        </w:rPr>
        <w:t xml:space="preserve"> </w:t>
      </w:r>
      <w:r w:rsidR="00DB3C6B" w:rsidRPr="001F3C8E">
        <w:rPr>
          <w:b/>
          <w:bCs/>
          <w:szCs w:val="24"/>
        </w:rPr>
        <w:t>stockpile</w:t>
      </w:r>
      <w:r w:rsidR="003F1C52" w:rsidRPr="001F3C8E">
        <w:rPr>
          <w:b/>
          <w:bCs/>
          <w:szCs w:val="24"/>
        </w:rPr>
        <w:t xml:space="preserve"> sampling conducted</w:t>
      </w:r>
      <w:r w:rsidR="00DB3C6B">
        <w:rPr>
          <w:b/>
          <w:bCs/>
          <w:szCs w:val="24"/>
        </w:rPr>
        <w:t xml:space="preserve"> confirmed</w:t>
      </w:r>
      <w:r w:rsidR="003F1C52" w:rsidRPr="001F3C8E">
        <w:rPr>
          <w:b/>
          <w:bCs/>
          <w:szCs w:val="24"/>
        </w:rPr>
        <w:t xml:space="preserve"> hazardous levels of PCBs (up to 24.8 mg/kg) and </w:t>
      </w:r>
      <w:r w:rsidR="002A3ED7" w:rsidRPr="001F3C8E">
        <w:rPr>
          <w:b/>
          <w:bCs/>
          <w:szCs w:val="24"/>
        </w:rPr>
        <w:t>Toxicity Characteristic Leaching Procedure (</w:t>
      </w:r>
      <w:r w:rsidR="003F1C52" w:rsidRPr="001F3C8E">
        <w:rPr>
          <w:b/>
          <w:bCs/>
          <w:szCs w:val="24"/>
        </w:rPr>
        <w:t>TCLP</w:t>
      </w:r>
      <w:r w:rsidR="002A3ED7" w:rsidRPr="001F3C8E">
        <w:rPr>
          <w:b/>
          <w:bCs/>
          <w:szCs w:val="24"/>
        </w:rPr>
        <w:t>)</w:t>
      </w:r>
      <w:r w:rsidR="003F1C52" w:rsidRPr="001F3C8E">
        <w:rPr>
          <w:b/>
          <w:bCs/>
          <w:szCs w:val="24"/>
        </w:rPr>
        <w:t xml:space="preserve"> lead (up to 50.2 </w:t>
      </w:r>
      <w:r w:rsidR="00982C49" w:rsidRPr="001F3C8E">
        <w:rPr>
          <w:b/>
          <w:bCs/>
          <w:szCs w:val="24"/>
        </w:rPr>
        <w:t>milligrams per liter [</w:t>
      </w:r>
      <w:r w:rsidR="003F1C52" w:rsidRPr="001F3C8E">
        <w:rPr>
          <w:b/>
          <w:bCs/>
          <w:szCs w:val="24"/>
        </w:rPr>
        <w:t>mg/L</w:t>
      </w:r>
      <w:r w:rsidR="00982C49" w:rsidRPr="001F3C8E">
        <w:rPr>
          <w:b/>
          <w:bCs/>
          <w:szCs w:val="24"/>
        </w:rPr>
        <w:t>]</w:t>
      </w:r>
      <w:r w:rsidR="003F1C52" w:rsidRPr="001F3C8E">
        <w:rPr>
          <w:b/>
          <w:bCs/>
          <w:szCs w:val="24"/>
        </w:rPr>
        <w:t>). At this time, approximately 7,800 tons of impacted soils remain stockpiled at the Site</w:t>
      </w:r>
      <w:r w:rsidR="0089074C">
        <w:rPr>
          <w:b/>
          <w:bCs/>
          <w:szCs w:val="24"/>
        </w:rPr>
        <w:t xml:space="preserve"> ready for disposal</w:t>
      </w:r>
      <w:r w:rsidR="003F1C52" w:rsidRPr="001F3C8E">
        <w:rPr>
          <w:b/>
          <w:bCs/>
          <w:szCs w:val="24"/>
        </w:rPr>
        <w:t>.</w:t>
      </w:r>
      <w:r w:rsidR="003F1C52" w:rsidRPr="001F3C8E">
        <w:rPr>
          <w:szCs w:val="24"/>
        </w:rPr>
        <w:t xml:space="preserve"> </w:t>
      </w:r>
      <w:r w:rsidR="0001710D" w:rsidRPr="001F3C8E">
        <w:rPr>
          <w:szCs w:val="24"/>
        </w:rPr>
        <w:t>However, completion of these efforts has proven challenging due to the limited financial resources available to Mullica</w:t>
      </w:r>
      <w:r w:rsidR="00F23DFF" w:rsidRPr="001F3C8E">
        <w:rPr>
          <w:szCs w:val="24"/>
        </w:rPr>
        <w:t xml:space="preserve"> (see </w:t>
      </w:r>
      <w:r w:rsidR="00943ED7" w:rsidRPr="001F3C8E">
        <w:rPr>
          <w:szCs w:val="24"/>
        </w:rPr>
        <w:t>Section 2.a.)</w:t>
      </w:r>
      <w:r w:rsidR="00984BA0" w:rsidRPr="001F3C8E">
        <w:rPr>
          <w:szCs w:val="24"/>
        </w:rPr>
        <w:t xml:space="preserve"> and </w:t>
      </w:r>
      <w:r w:rsidR="00CC1C0F" w:rsidRPr="001F3C8E">
        <w:rPr>
          <w:szCs w:val="24"/>
        </w:rPr>
        <w:t xml:space="preserve">prohibitive costs </w:t>
      </w:r>
      <w:r w:rsidR="00366E61" w:rsidRPr="001F3C8E">
        <w:rPr>
          <w:szCs w:val="24"/>
        </w:rPr>
        <w:t xml:space="preserve">associated </w:t>
      </w:r>
      <w:r w:rsidR="00E7738B" w:rsidRPr="001F3C8E">
        <w:rPr>
          <w:szCs w:val="24"/>
        </w:rPr>
        <w:t xml:space="preserve">with </w:t>
      </w:r>
      <w:r w:rsidR="00366E61" w:rsidRPr="001F3C8E">
        <w:rPr>
          <w:szCs w:val="24"/>
        </w:rPr>
        <w:t>soil disposal at these concentrations</w:t>
      </w:r>
      <w:r w:rsidR="0001710D" w:rsidRPr="001F3C8E">
        <w:rPr>
          <w:szCs w:val="24"/>
        </w:rPr>
        <w:t>.</w:t>
      </w:r>
      <w:r w:rsidR="0001710D" w:rsidRPr="001F3C8E">
        <w:rPr>
          <w:b/>
          <w:bCs/>
          <w:szCs w:val="24"/>
        </w:rPr>
        <w:t xml:space="preserve"> </w:t>
      </w:r>
    </w:p>
    <w:p w14:paraId="0F60333D" w14:textId="3662867E" w:rsidR="007F02A2" w:rsidRPr="001F3C8E" w:rsidRDefault="007F02A2" w:rsidP="00F4056D">
      <w:pPr>
        <w:pStyle w:val="Heading2"/>
      </w:pPr>
      <w:r w:rsidRPr="001F3C8E">
        <w:t>Revitalization of the Target Area</w:t>
      </w:r>
    </w:p>
    <w:p w14:paraId="22778083" w14:textId="2601B2A6" w:rsidR="00EE271D" w:rsidRPr="001F3C8E" w:rsidRDefault="009910F0" w:rsidP="00F4056D">
      <w:pPr>
        <w:pStyle w:val="Heading3"/>
      </w:pPr>
      <w:r w:rsidRPr="001F3C8E">
        <w:t>1.</w:t>
      </w:r>
      <w:r w:rsidR="00A94879" w:rsidRPr="001F3C8E">
        <w:t>c</w:t>
      </w:r>
      <w:r w:rsidR="00EE271D" w:rsidRPr="001F3C8E">
        <w:t xml:space="preserve">. Reuse Strategy and Alignment with Revitalization Plans </w:t>
      </w:r>
    </w:p>
    <w:p w14:paraId="75A2CAD8" w14:textId="73AF6E98" w:rsidR="000B6419" w:rsidRPr="001F3C8E" w:rsidRDefault="000B6419" w:rsidP="000B6419">
      <w:pPr>
        <w:rPr>
          <w:color w:val="auto"/>
          <w:szCs w:val="24"/>
        </w:rPr>
      </w:pPr>
      <w:r w:rsidRPr="001F3C8E">
        <w:rPr>
          <w:b/>
          <w:bCs/>
          <w:szCs w:val="24"/>
        </w:rPr>
        <w:t>Mullica’s reuse strategy for the Perona Scrapyard</w:t>
      </w:r>
      <w:r w:rsidR="00E7738B" w:rsidRPr="001F3C8E">
        <w:rPr>
          <w:b/>
          <w:bCs/>
          <w:szCs w:val="24"/>
        </w:rPr>
        <w:t xml:space="preserve"> focuses</w:t>
      </w:r>
      <w:r w:rsidRPr="001F3C8E">
        <w:rPr>
          <w:b/>
          <w:bCs/>
          <w:szCs w:val="24"/>
        </w:rPr>
        <w:t xml:space="preserve"> on converting a long-blighted, contaminated property into a safe, environmentally compatible asset that supports community priorities, protects sensitive natural resources, and advances long-term sustainability goals</w:t>
      </w:r>
      <w:r w:rsidRPr="001F3C8E">
        <w:rPr>
          <w:szCs w:val="24"/>
        </w:rPr>
        <w:t xml:space="preserve">. Following cleanup, reuse will </w:t>
      </w:r>
      <w:r w:rsidRPr="001F3C8E">
        <w:rPr>
          <w:color w:val="auto"/>
          <w:szCs w:val="24"/>
        </w:rPr>
        <w:t xml:space="preserve">emphasize open space preservation, </w:t>
      </w:r>
      <w:r w:rsidR="00EF6DC0" w:rsidRPr="001F3C8E">
        <w:rPr>
          <w:color w:val="auto"/>
          <w:szCs w:val="24"/>
        </w:rPr>
        <w:t>green infrastructure</w:t>
      </w:r>
      <w:r w:rsidR="003A247E" w:rsidRPr="001F3C8E">
        <w:rPr>
          <w:color w:val="auto"/>
          <w:szCs w:val="24"/>
        </w:rPr>
        <w:t xml:space="preserve">, </w:t>
      </w:r>
      <w:r w:rsidR="004D0013" w:rsidRPr="001F3C8E">
        <w:rPr>
          <w:color w:val="auto"/>
          <w:szCs w:val="24"/>
        </w:rPr>
        <w:t xml:space="preserve">recreation uses, </w:t>
      </w:r>
      <w:r w:rsidR="0067073E" w:rsidRPr="001F3C8E">
        <w:rPr>
          <w:color w:val="auto"/>
          <w:szCs w:val="24"/>
        </w:rPr>
        <w:t>energy efficiency</w:t>
      </w:r>
      <w:r w:rsidR="00BF095F" w:rsidRPr="001F3C8E">
        <w:rPr>
          <w:color w:val="auto"/>
          <w:szCs w:val="24"/>
        </w:rPr>
        <w:t>/resiliency</w:t>
      </w:r>
      <w:r w:rsidR="0067073E" w:rsidRPr="001F3C8E">
        <w:rPr>
          <w:color w:val="auto"/>
          <w:szCs w:val="24"/>
        </w:rPr>
        <w:t xml:space="preserve"> (</w:t>
      </w:r>
      <w:r w:rsidR="00BF095F" w:rsidRPr="001F3C8E">
        <w:rPr>
          <w:color w:val="auto"/>
          <w:szCs w:val="24"/>
        </w:rPr>
        <w:t>e.g., installation of solar panels)</w:t>
      </w:r>
      <w:r w:rsidR="004D0013" w:rsidRPr="001F3C8E">
        <w:rPr>
          <w:color w:val="auto"/>
          <w:szCs w:val="24"/>
        </w:rPr>
        <w:t>,</w:t>
      </w:r>
      <w:r w:rsidR="00BF095F" w:rsidRPr="001F3C8E">
        <w:rPr>
          <w:color w:val="auto"/>
          <w:szCs w:val="24"/>
        </w:rPr>
        <w:t xml:space="preserve"> </w:t>
      </w:r>
      <w:r w:rsidRPr="001F3C8E">
        <w:rPr>
          <w:color w:val="auto"/>
          <w:szCs w:val="24"/>
        </w:rPr>
        <w:t xml:space="preserve">ecological restoration, and other </w:t>
      </w:r>
      <w:proofErr w:type="gramStart"/>
      <w:r w:rsidRPr="001F3C8E">
        <w:rPr>
          <w:color w:val="auto"/>
          <w:szCs w:val="24"/>
        </w:rPr>
        <w:t>low-impact</w:t>
      </w:r>
      <w:proofErr w:type="gramEnd"/>
      <w:r w:rsidRPr="001F3C8E">
        <w:rPr>
          <w:color w:val="auto"/>
          <w:szCs w:val="24"/>
        </w:rPr>
        <w:t xml:space="preserve"> uses that are fully consistent with the Pinelands </w:t>
      </w:r>
      <w:r w:rsidR="00CE2C53" w:rsidRPr="001F3C8E">
        <w:rPr>
          <w:color w:val="auto"/>
          <w:szCs w:val="24"/>
        </w:rPr>
        <w:t>Comprehensive Management Plan</w:t>
      </w:r>
      <w:r w:rsidRPr="001F3C8E">
        <w:rPr>
          <w:color w:val="auto"/>
          <w:szCs w:val="24"/>
        </w:rPr>
        <w:t xml:space="preserve"> and the Site’s physical</w:t>
      </w:r>
      <w:r w:rsidR="00B80112" w:rsidRPr="001F3C8E">
        <w:rPr>
          <w:color w:val="auto"/>
          <w:szCs w:val="24"/>
        </w:rPr>
        <w:t>/infrastructure</w:t>
      </w:r>
      <w:r w:rsidRPr="001F3C8E">
        <w:rPr>
          <w:color w:val="auto"/>
          <w:szCs w:val="24"/>
        </w:rPr>
        <w:t xml:space="preserve"> constraints, including wetlands, surface waters, and floodplain areas.</w:t>
      </w:r>
    </w:p>
    <w:p w14:paraId="18644F55" w14:textId="5D576D5A" w:rsidR="006B503E" w:rsidRPr="001F3C8E" w:rsidRDefault="000B6419" w:rsidP="000B6419">
      <w:pPr>
        <w:rPr>
          <w:szCs w:val="24"/>
        </w:rPr>
      </w:pPr>
      <w:r w:rsidRPr="001F3C8E">
        <w:rPr>
          <w:b/>
          <w:bCs/>
          <w:szCs w:val="24"/>
        </w:rPr>
        <w:t xml:space="preserve">This approach aligns with </w:t>
      </w:r>
      <w:r w:rsidR="00EB467E" w:rsidRPr="001F3C8E">
        <w:rPr>
          <w:b/>
          <w:bCs/>
          <w:szCs w:val="24"/>
        </w:rPr>
        <w:t>Mullica’s</w:t>
      </w:r>
      <w:r w:rsidRPr="001F3C8E">
        <w:rPr>
          <w:b/>
          <w:bCs/>
          <w:szCs w:val="24"/>
        </w:rPr>
        <w:t xml:space="preserve"> Master Plan, which prioritizes preservation of rural character, protection of water resources, and targeted revitalization that does not rely on expanded infrastructure.</w:t>
      </w:r>
      <w:r w:rsidRPr="001F3C8E">
        <w:rPr>
          <w:szCs w:val="24"/>
        </w:rPr>
        <w:t xml:space="preserve"> Cleanup will remove a significant barrier to these objectives by eliminating contamination that currently limits safe access, stewardship, and productive use of the property. </w:t>
      </w:r>
      <w:r w:rsidR="00664902" w:rsidRPr="001F3C8E">
        <w:rPr>
          <w:szCs w:val="24"/>
        </w:rPr>
        <w:t xml:space="preserve">The </w:t>
      </w:r>
      <w:r w:rsidR="009A1C2C" w:rsidRPr="001F3C8E">
        <w:rPr>
          <w:szCs w:val="24"/>
        </w:rPr>
        <w:t>S</w:t>
      </w:r>
      <w:r w:rsidR="00664902" w:rsidRPr="001F3C8E">
        <w:rPr>
          <w:szCs w:val="24"/>
        </w:rPr>
        <w:t>ite is accessible via Columbia Road and does not require major infrastructure upgrades for cleanup implementation.</w:t>
      </w:r>
      <w:r w:rsidR="003F6751">
        <w:rPr>
          <w:szCs w:val="24"/>
        </w:rPr>
        <w:t xml:space="preserve"> </w:t>
      </w:r>
      <w:r w:rsidRPr="001F3C8E">
        <w:rPr>
          <w:b/>
          <w:bCs/>
          <w:szCs w:val="24"/>
        </w:rPr>
        <w:t xml:space="preserve">In addition, </w:t>
      </w:r>
      <w:r w:rsidR="00B8638B" w:rsidRPr="001F3C8E">
        <w:rPr>
          <w:b/>
          <w:bCs/>
          <w:szCs w:val="24"/>
        </w:rPr>
        <w:t>Mullica</w:t>
      </w:r>
      <w:r w:rsidRPr="001F3C8E">
        <w:rPr>
          <w:b/>
          <w:bCs/>
          <w:szCs w:val="24"/>
        </w:rPr>
        <w:t xml:space="preserve"> is evaluating renewable energy reuse opportunities</w:t>
      </w:r>
      <w:r w:rsidRPr="001F3C8E">
        <w:rPr>
          <w:szCs w:val="24"/>
        </w:rPr>
        <w:t xml:space="preserve"> </w:t>
      </w:r>
      <w:r w:rsidR="00AC082D" w:rsidRPr="001F3C8E">
        <w:rPr>
          <w:szCs w:val="24"/>
        </w:rPr>
        <w:t xml:space="preserve">for </w:t>
      </w:r>
      <w:r w:rsidRPr="001F3C8E">
        <w:rPr>
          <w:szCs w:val="24"/>
        </w:rPr>
        <w:t xml:space="preserve">the Site, including a potential </w:t>
      </w:r>
      <w:r w:rsidR="003A302D" w:rsidRPr="001F3C8E">
        <w:rPr>
          <w:szCs w:val="24"/>
        </w:rPr>
        <w:t>c</w:t>
      </w:r>
      <w:r w:rsidRPr="001F3C8E">
        <w:rPr>
          <w:szCs w:val="24"/>
        </w:rPr>
        <w:t xml:space="preserve">ommunity </w:t>
      </w:r>
      <w:r w:rsidR="003A302D" w:rsidRPr="001F3C8E">
        <w:rPr>
          <w:szCs w:val="24"/>
        </w:rPr>
        <w:t>s</w:t>
      </w:r>
      <w:r w:rsidRPr="001F3C8E">
        <w:rPr>
          <w:szCs w:val="24"/>
        </w:rPr>
        <w:t>olar project</w:t>
      </w:r>
      <w:r w:rsidR="008C08BF" w:rsidRPr="001F3C8E">
        <w:rPr>
          <w:szCs w:val="24"/>
        </w:rPr>
        <w:t xml:space="preserve">, as evidenced by the execution of a </w:t>
      </w:r>
      <w:r w:rsidRPr="001F3C8E">
        <w:rPr>
          <w:szCs w:val="24"/>
        </w:rPr>
        <w:t>Memorandum of Understanding with a conditional redeveloper</w:t>
      </w:r>
      <w:r w:rsidR="008C08BF" w:rsidRPr="001F3C8E">
        <w:rPr>
          <w:szCs w:val="24"/>
        </w:rPr>
        <w:t xml:space="preserve"> for a similar property within the TA</w:t>
      </w:r>
      <w:r w:rsidRPr="001F3C8E">
        <w:rPr>
          <w:szCs w:val="24"/>
        </w:rPr>
        <w:t xml:space="preserve">. This low-impact, revenue-positive reuse concept is consistent with New Jersey clean energy initiatives and </w:t>
      </w:r>
      <w:r w:rsidR="00BC277F" w:rsidRPr="001F3C8E">
        <w:rPr>
          <w:szCs w:val="24"/>
        </w:rPr>
        <w:t>s</w:t>
      </w:r>
      <w:r w:rsidRPr="001F3C8E">
        <w:rPr>
          <w:szCs w:val="24"/>
        </w:rPr>
        <w:t>tate guidance. Together, these strategies reflect a realistic, regulation-conscious vision for reuse that leverages EPA cleanup funding to deliver lasting environmental, community, and fiscal benefits.</w:t>
      </w:r>
    </w:p>
    <w:p w14:paraId="55C9D5CA" w14:textId="7E5827CA" w:rsidR="00EE271D" w:rsidRPr="001F3C8E" w:rsidRDefault="009910F0" w:rsidP="00F4056D">
      <w:pPr>
        <w:pStyle w:val="Heading3"/>
      </w:pPr>
      <w:r w:rsidRPr="001F3C8E">
        <w:t>1.</w:t>
      </w:r>
      <w:r w:rsidR="00A94879" w:rsidRPr="001F3C8E">
        <w:t>d</w:t>
      </w:r>
      <w:r w:rsidR="00C1504A" w:rsidRPr="001F3C8E">
        <w:t xml:space="preserve">. Outcomes and Benefits of Reuse Strategy </w:t>
      </w:r>
    </w:p>
    <w:p w14:paraId="068DB2B0" w14:textId="0CA515C0" w:rsidR="003434FF" w:rsidRPr="001F3C8E" w:rsidRDefault="003434FF" w:rsidP="00583028">
      <w:pPr>
        <w:rPr>
          <w:szCs w:val="24"/>
        </w:rPr>
      </w:pPr>
      <w:r w:rsidRPr="001F3C8E">
        <w:rPr>
          <w:b/>
          <w:bCs/>
          <w:szCs w:val="24"/>
        </w:rPr>
        <w:t>Cleanup and reuse of the Former Perona Scrapyard will generate immediate and long</w:t>
      </w:r>
      <w:r w:rsidRPr="001F3C8E">
        <w:rPr>
          <w:b/>
          <w:bCs/>
          <w:szCs w:val="24"/>
        </w:rPr>
        <w:noBreakHyphen/>
        <w:t>term economic value for Mullica.</w:t>
      </w:r>
      <w:r w:rsidRPr="001F3C8E">
        <w:rPr>
          <w:szCs w:val="24"/>
        </w:rPr>
        <w:t xml:space="preserve"> EPA </w:t>
      </w:r>
      <w:r w:rsidR="009E4E6F" w:rsidRPr="001F3C8E">
        <w:rPr>
          <w:szCs w:val="24"/>
        </w:rPr>
        <w:t>B</w:t>
      </w:r>
      <w:r w:rsidRPr="001F3C8E">
        <w:rPr>
          <w:szCs w:val="24"/>
        </w:rPr>
        <w:t xml:space="preserve">rownfield research shows that cleanup investments directly support </w:t>
      </w:r>
      <w:r w:rsidR="009E4E6F" w:rsidRPr="001F3C8E">
        <w:rPr>
          <w:szCs w:val="24"/>
        </w:rPr>
        <w:t>two to 13</w:t>
      </w:r>
      <w:r w:rsidRPr="001F3C8E">
        <w:rPr>
          <w:szCs w:val="24"/>
        </w:rPr>
        <w:t xml:space="preserve"> jobs per $100,000 spent</w:t>
      </w:r>
      <w:r w:rsidR="00EA2451" w:rsidRPr="001F3C8E">
        <w:rPr>
          <w:rStyle w:val="FootnoteReference"/>
          <w:sz w:val="24"/>
          <w:szCs w:val="24"/>
        </w:rPr>
        <w:footnoteReference w:id="8"/>
      </w:r>
      <w:r w:rsidRPr="001F3C8E">
        <w:rPr>
          <w:szCs w:val="24"/>
        </w:rPr>
        <w:t xml:space="preserve">, stimulating local contractor hiring, equipment services, and related economic activity during remediation. Once restored, the </w:t>
      </w:r>
      <w:r w:rsidR="00806684" w:rsidRPr="001F3C8E">
        <w:rPr>
          <w:szCs w:val="24"/>
        </w:rPr>
        <w:t>Site</w:t>
      </w:r>
      <w:r w:rsidRPr="001F3C8E">
        <w:rPr>
          <w:szCs w:val="24"/>
        </w:rPr>
        <w:t xml:space="preserve"> will position </w:t>
      </w:r>
      <w:r w:rsidR="009E4E6F" w:rsidRPr="001F3C8E">
        <w:rPr>
          <w:szCs w:val="24"/>
        </w:rPr>
        <w:t>Mullica</w:t>
      </w:r>
      <w:r w:rsidRPr="001F3C8E">
        <w:rPr>
          <w:szCs w:val="24"/>
        </w:rPr>
        <w:t xml:space="preserve"> to attract future investment</w:t>
      </w:r>
      <w:r w:rsidR="009E4E6F" w:rsidRPr="001F3C8E">
        <w:rPr>
          <w:szCs w:val="24"/>
        </w:rPr>
        <w:t>,</w:t>
      </w:r>
      <w:r w:rsidR="00002152" w:rsidRPr="001F3C8E">
        <w:rPr>
          <w:szCs w:val="24"/>
        </w:rPr>
        <w:t xml:space="preserve"> </w:t>
      </w:r>
      <w:r w:rsidRPr="001F3C8E">
        <w:rPr>
          <w:szCs w:val="24"/>
        </w:rPr>
        <w:t>including community solar development on the former landfill area</w:t>
      </w:r>
      <w:r w:rsidR="00002152" w:rsidRPr="001F3C8E">
        <w:rPr>
          <w:szCs w:val="24"/>
        </w:rPr>
        <w:t xml:space="preserve">. This is </w:t>
      </w:r>
      <w:r w:rsidRPr="001F3C8E">
        <w:rPr>
          <w:szCs w:val="24"/>
        </w:rPr>
        <w:t>aligned with New Jersey’s rapidly expanding clean</w:t>
      </w:r>
      <w:r w:rsidRPr="001F3C8E">
        <w:rPr>
          <w:szCs w:val="24"/>
        </w:rPr>
        <w:noBreakHyphen/>
        <w:t xml:space="preserve">energy sector, which is on track to </w:t>
      </w:r>
      <w:r w:rsidRPr="001F3C8E">
        <w:rPr>
          <w:szCs w:val="24"/>
        </w:rPr>
        <w:lastRenderedPageBreak/>
        <w:t xml:space="preserve">exceed 200,000 solar installations and 5 </w:t>
      </w:r>
      <w:r w:rsidR="00F47D6A" w:rsidRPr="001F3C8E">
        <w:rPr>
          <w:szCs w:val="24"/>
        </w:rPr>
        <w:t>gigawatts</w:t>
      </w:r>
      <w:r w:rsidRPr="001F3C8E">
        <w:rPr>
          <w:szCs w:val="24"/>
        </w:rPr>
        <w:t xml:space="preserve"> </w:t>
      </w:r>
      <w:r w:rsidR="00F47D6A" w:rsidRPr="001F3C8E">
        <w:rPr>
          <w:szCs w:val="24"/>
        </w:rPr>
        <w:t>(</w:t>
      </w:r>
      <w:r w:rsidRPr="001F3C8E">
        <w:rPr>
          <w:szCs w:val="24"/>
        </w:rPr>
        <w:t>GW</w:t>
      </w:r>
      <w:r w:rsidR="00F47D6A" w:rsidRPr="001F3C8E">
        <w:rPr>
          <w:szCs w:val="24"/>
        </w:rPr>
        <w:t>)</w:t>
      </w:r>
      <w:r w:rsidRPr="001F3C8E">
        <w:rPr>
          <w:szCs w:val="24"/>
        </w:rPr>
        <w:t xml:space="preserve"> of capacity statewide</w:t>
      </w:r>
      <w:r w:rsidR="0062474E" w:rsidRPr="001F3C8E">
        <w:rPr>
          <w:rStyle w:val="FootnoteReference"/>
          <w:sz w:val="24"/>
          <w:szCs w:val="24"/>
        </w:rPr>
        <w:footnoteReference w:id="9"/>
      </w:r>
      <w:r w:rsidRPr="001F3C8E">
        <w:rPr>
          <w:szCs w:val="24"/>
        </w:rPr>
        <w:t>. Solar reuse will generate long</w:t>
      </w:r>
      <w:r w:rsidRPr="001F3C8E">
        <w:rPr>
          <w:szCs w:val="24"/>
        </w:rPr>
        <w:noBreakHyphen/>
        <w:t>term municipal revenue, workforce opportunities, and energy</w:t>
      </w:r>
      <w:r w:rsidRPr="001F3C8E">
        <w:rPr>
          <w:szCs w:val="24"/>
        </w:rPr>
        <w:noBreakHyphen/>
        <w:t>cost savings while preserving undeveloped land, consistent with the N</w:t>
      </w:r>
      <w:r w:rsidR="000C65C7" w:rsidRPr="001F3C8E">
        <w:rPr>
          <w:szCs w:val="24"/>
        </w:rPr>
        <w:t>ew Jersey Board of Public Utilities’</w:t>
      </w:r>
      <w:r w:rsidRPr="001F3C8E">
        <w:rPr>
          <w:szCs w:val="24"/>
        </w:rPr>
        <w:t xml:space="preserve"> prioritization of </w:t>
      </w:r>
      <w:r w:rsidR="00F47D6A" w:rsidRPr="001F3C8E">
        <w:rPr>
          <w:szCs w:val="24"/>
        </w:rPr>
        <w:t>B</w:t>
      </w:r>
      <w:r w:rsidRPr="001F3C8E">
        <w:rPr>
          <w:szCs w:val="24"/>
        </w:rPr>
        <w:t>rownfields and landfills for community</w:t>
      </w:r>
      <w:r w:rsidRPr="001F3C8E">
        <w:rPr>
          <w:szCs w:val="24"/>
        </w:rPr>
        <w:noBreakHyphen/>
        <w:t>solar siting.</w:t>
      </w:r>
      <w:r w:rsidR="00395934">
        <w:rPr>
          <w:szCs w:val="24"/>
        </w:rPr>
        <w:t xml:space="preserve"> </w:t>
      </w:r>
      <w:r w:rsidR="00BE1622" w:rsidRPr="001F3C8E">
        <w:rPr>
          <w:b/>
          <w:bCs/>
          <w:szCs w:val="24"/>
        </w:rPr>
        <w:t xml:space="preserve">Cleanup will simultaneously improve water quality, stabilize soils, and enhance flood resilience across 23 acres of </w:t>
      </w:r>
      <w:r w:rsidR="006D2734" w:rsidRPr="001F3C8E">
        <w:rPr>
          <w:b/>
          <w:bCs/>
          <w:szCs w:val="24"/>
        </w:rPr>
        <w:t>Federal Emergency Management Agency (</w:t>
      </w:r>
      <w:r w:rsidR="00BE1622" w:rsidRPr="001F3C8E">
        <w:rPr>
          <w:b/>
          <w:bCs/>
          <w:szCs w:val="24"/>
        </w:rPr>
        <w:t>FEMA</w:t>
      </w:r>
      <w:r w:rsidR="006D2734" w:rsidRPr="001F3C8E">
        <w:rPr>
          <w:b/>
          <w:bCs/>
          <w:szCs w:val="24"/>
        </w:rPr>
        <w:t>)</w:t>
      </w:r>
      <w:r w:rsidR="00BE1622" w:rsidRPr="001F3C8E">
        <w:rPr>
          <w:b/>
          <w:bCs/>
          <w:szCs w:val="24"/>
        </w:rPr>
        <w:t xml:space="preserve"> Zone A floodplain, reducing downstream impacts during extreme precipitation events</w:t>
      </w:r>
      <w:r w:rsidR="000C65C7" w:rsidRPr="001F3C8E">
        <w:rPr>
          <w:rStyle w:val="FootnoteReference"/>
          <w:b/>
          <w:bCs/>
          <w:sz w:val="24"/>
          <w:szCs w:val="24"/>
        </w:rPr>
        <w:footnoteReference w:id="10"/>
      </w:r>
      <w:r w:rsidR="00BE1622" w:rsidRPr="001F3C8E">
        <w:rPr>
          <w:b/>
          <w:bCs/>
          <w:szCs w:val="24"/>
        </w:rPr>
        <w:t xml:space="preserve">. </w:t>
      </w:r>
      <w:r w:rsidR="00BE1622" w:rsidRPr="001F3C8E">
        <w:rPr>
          <w:szCs w:val="24"/>
        </w:rPr>
        <w:t>Habitat restoration</w:t>
      </w:r>
      <w:r w:rsidR="004329A4" w:rsidRPr="001F3C8E">
        <w:rPr>
          <w:szCs w:val="24"/>
        </w:rPr>
        <w:t>,</w:t>
      </w:r>
      <w:r w:rsidR="00D675BF" w:rsidRPr="001F3C8E">
        <w:rPr>
          <w:szCs w:val="24"/>
        </w:rPr>
        <w:t xml:space="preserve"> </w:t>
      </w:r>
      <w:r w:rsidR="00BE1622" w:rsidRPr="001F3C8E">
        <w:rPr>
          <w:szCs w:val="24"/>
        </w:rPr>
        <w:t xml:space="preserve">including 14.3 acres of Rank 1, 2, and 4 </w:t>
      </w:r>
      <w:proofErr w:type="gramStart"/>
      <w:r w:rsidR="00BE1622" w:rsidRPr="001F3C8E">
        <w:rPr>
          <w:szCs w:val="24"/>
        </w:rPr>
        <w:t>habitat</w:t>
      </w:r>
      <w:proofErr w:type="gramEnd"/>
      <w:r w:rsidR="007748BB">
        <w:rPr>
          <w:rStyle w:val="FootnoteReference"/>
          <w:szCs w:val="24"/>
        </w:rPr>
        <w:footnoteReference w:id="11"/>
      </w:r>
      <w:r w:rsidR="004329A4" w:rsidRPr="001F3C8E">
        <w:rPr>
          <w:szCs w:val="24"/>
        </w:rPr>
        <w:t xml:space="preserve">, </w:t>
      </w:r>
      <w:r w:rsidR="00BE1622" w:rsidRPr="001F3C8E">
        <w:rPr>
          <w:szCs w:val="24"/>
        </w:rPr>
        <w:t xml:space="preserve">will preserve key Pinelands species such as timber rattlesnake and northern </w:t>
      </w:r>
      <w:proofErr w:type="spellStart"/>
      <w:r w:rsidR="00BE1622" w:rsidRPr="001F3C8E">
        <w:rPr>
          <w:szCs w:val="24"/>
        </w:rPr>
        <w:t>pinesnake</w:t>
      </w:r>
      <w:proofErr w:type="spellEnd"/>
      <w:r w:rsidR="00BE1622" w:rsidRPr="001F3C8E">
        <w:rPr>
          <w:szCs w:val="24"/>
        </w:rPr>
        <w:t xml:space="preserve">, supporting regional recovery following severe 2025 wildfires that burned more than 15,000 acres of the surrounding Pinelands. By </w:t>
      </w:r>
      <w:r w:rsidR="008460A6">
        <w:rPr>
          <w:szCs w:val="24"/>
        </w:rPr>
        <w:t xml:space="preserve">redeveloping </w:t>
      </w:r>
      <w:r w:rsidR="00D675BF" w:rsidRPr="001F3C8E">
        <w:rPr>
          <w:szCs w:val="24"/>
        </w:rPr>
        <w:t xml:space="preserve">this </w:t>
      </w:r>
      <w:r w:rsidR="00806684" w:rsidRPr="001F3C8E">
        <w:rPr>
          <w:szCs w:val="24"/>
        </w:rPr>
        <w:t>Site</w:t>
      </w:r>
      <w:r w:rsidR="00BE1622" w:rsidRPr="001F3C8E">
        <w:rPr>
          <w:szCs w:val="24"/>
        </w:rPr>
        <w:t xml:space="preserve"> into </w:t>
      </w:r>
      <w:r w:rsidR="0086215E" w:rsidRPr="001F3C8E">
        <w:rPr>
          <w:szCs w:val="24"/>
        </w:rPr>
        <w:t>a</w:t>
      </w:r>
      <w:r w:rsidR="00BE1622" w:rsidRPr="001F3C8E">
        <w:rPr>
          <w:szCs w:val="24"/>
        </w:rPr>
        <w:t xml:space="preserve"> safe open space, ecological preserve, and clean</w:t>
      </w:r>
      <w:r w:rsidR="00BE1622" w:rsidRPr="001F3C8E">
        <w:rPr>
          <w:rFonts w:ascii="Cambria Math" w:hAnsi="Cambria Math" w:cs="Cambria Math"/>
          <w:szCs w:val="24"/>
        </w:rPr>
        <w:t>‑</w:t>
      </w:r>
      <w:r w:rsidR="00BE1622" w:rsidRPr="001F3C8E">
        <w:rPr>
          <w:szCs w:val="24"/>
        </w:rPr>
        <w:t>energy asset, Mullica will eliminate public</w:t>
      </w:r>
      <w:r w:rsidR="00BE1622" w:rsidRPr="001F3C8E">
        <w:rPr>
          <w:rFonts w:ascii="Cambria Math" w:hAnsi="Cambria Math" w:cs="Cambria Math"/>
          <w:szCs w:val="24"/>
        </w:rPr>
        <w:t>‑</w:t>
      </w:r>
      <w:r w:rsidR="00BE1622" w:rsidRPr="001F3C8E">
        <w:rPr>
          <w:szCs w:val="24"/>
        </w:rPr>
        <w:t>health hazards, expand recreational access, increase adjacent property values, and foster long</w:t>
      </w:r>
      <w:r w:rsidR="00BE1622" w:rsidRPr="001F3C8E">
        <w:rPr>
          <w:rFonts w:ascii="Cambria Math" w:hAnsi="Cambria Math" w:cs="Cambria Math"/>
          <w:szCs w:val="24"/>
        </w:rPr>
        <w:t>‑</w:t>
      </w:r>
      <w:r w:rsidR="00BE1622" w:rsidRPr="001F3C8E">
        <w:rPr>
          <w:szCs w:val="24"/>
        </w:rPr>
        <w:t>term community resilience and economic vitality.</w:t>
      </w:r>
    </w:p>
    <w:p w14:paraId="00C89039" w14:textId="075EB0D3" w:rsidR="00651E76" w:rsidRPr="001F3C8E" w:rsidRDefault="00651E76" w:rsidP="00F4056D">
      <w:pPr>
        <w:pStyle w:val="Heading2"/>
      </w:pPr>
      <w:r w:rsidRPr="001F3C8E">
        <w:t>Strategy for Leveraging Resources</w:t>
      </w:r>
      <w:r w:rsidR="003D4DD2" w:rsidRPr="001F3C8E">
        <w:t xml:space="preserve"> </w:t>
      </w:r>
    </w:p>
    <w:p w14:paraId="4B573DEB" w14:textId="2AD396F5" w:rsidR="00F208FC" w:rsidRPr="001F3C8E" w:rsidRDefault="009910F0" w:rsidP="00F4056D">
      <w:pPr>
        <w:pStyle w:val="Heading3"/>
      </w:pPr>
      <w:r w:rsidRPr="001F3C8E">
        <w:t>1.</w:t>
      </w:r>
      <w:r w:rsidR="00F43367" w:rsidRPr="001F3C8E">
        <w:t>e.</w:t>
      </w:r>
      <w:r w:rsidR="00F208FC" w:rsidRPr="001F3C8E">
        <w:t xml:space="preserve"> Resources Needed for Site Characterization </w:t>
      </w:r>
    </w:p>
    <w:p w14:paraId="7F8020BC" w14:textId="3B41F5F8" w:rsidR="00EA7A91" w:rsidRPr="001F3C8E" w:rsidRDefault="00EA7A91" w:rsidP="005843C0">
      <w:pPr>
        <w:rPr>
          <w:szCs w:val="24"/>
        </w:rPr>
      </w:pPr>
      <w:r w:rsidRPr="001F3C8E">
        <w:rPr>
          <w:szCs w:val="24"/>
        </w:rPr>
        <w:t xml:space="preserve">Consistent with </w:t>
      </w:r>
      <w:r w:rsidR="00F018C2" w:rsidRPr="001F3C8E">
        <w:rPr>
          <w:szCs w:val="24"/>
        </w:rPr>
        <w:t>Comprehensive Environmental Response, Compensation, and Liability Act (</w:t>
      </w:r>
      <w:r w:rsidRPr="001F3C8E">
        <w:rPr>
          <w:szCs w:val="24"/>
        </w:rPr>
        <w:t>CERCLA</w:t>
      </w:r>
      <w:r w:rsidR="00F018C2" w:rsidRPr="001F3C8E">
        <w:rPr>
          <w:szCs w:val="24"/>
        </w:rPr>
        <w:t>)</w:t>
      </w:r>
      <w:r w:rsidRPr="001F3C8E">
        <w:rPr>
          <w:szCs w:val="24"/>
        </w:rPr>
        <w:t xml:space="preserve"> §104(k)(6)(C)(i), Mullica has accessed and leveraged multiple public funding sources to advance environmental </w:t>
      </w:r>
      <w:r w:rsidR="00806684" w:rsidRPr="001F3C8E">
        <w:rPr>
          <w:szCs w:val="24"/>
        </w:rPr>
        <w:t>Site</w:t>
      </w:r>
      <w:r w:rsidRPr="001F3C8E">
        <w:rPr>
          <w:szCs w:val="24"/>
        </w:rPr>
        <w:t xml:space="preserve"> characterization. </w:t>
      </w:r>
      <w:r w:rsidR="00547ED2" w:rsidRPr="001F3C8E">
        <w:rPr>
          <w:b/>
          <w:bCs/>
          <w:szCs w:val="24"/>
        </w:rPr>
        <w:t xml:space="preserve"> </w:t>
      </w:r>
      <w:r w:rsidR="005843C0" w:rsidRPr="001F3C8E">
        <w:rPr>
          <w:b/>
          <w:bCs/>
          <w:szCs w:val="24"/>
        </w:rPr>
        <w:t xml:space="preserve">To date, Mullica has leveraged approximately </w:t>
      </w:r>
      <w:r w:rsidR="005843C0" w:rsidRPr="001F3C8E">
        <w:rPr>
          <w:b/>
          <w:szCs w:val="24"/>
        </w:rPr>
        <w:t>$350,000</w:t>
      </w:r>
      <w:r w:rsidR="005843C0" w:rsidRPr="001F3C8E">
        <w:rPr>
          <w:b/>
          <w:bCs/>
          <w:szCs w:val="24"/>
        </w:rPr>
        <w:t xml:space="preserve"> in </w:t>
      </w:r>
      <w:r w:rsidR="00BC277F" w:rsidRPr="001F3C8E">
        <w:rPr>
          <w:b/>
          <w:bCs/>
          <w:szCs w:val="24"/>
        </w:rPr>
        <w:t>s</w:t>
      </w:r>
      <w:r w:rsidR="005843C0" w:rsidRPr="001F3C8E">
        <w:rPr>
          <w:b/>
          <w:bCs/>
          <w:szCs w:val="24"/>
        </w:rPr>
        <w:t xml:space="preserve">tate and County funding to support </w:t>
      </w:r>
      <w:r w:rsidR="00806684" w:rsidRPr="001F3C8E">
        <w:rPr>
          <w:b/>
          <w:bCs/>
          <w:szCs w:val="24"/>
        </w:rPr>
        <w:t>Site</w:t>
      </w:r>
      <w:r w:rsidR="005843C0" w:rsidRPr="001F3C8E">
        <w:rPr>
          <w:b/>
          <w:bCs/>
          <w:szCs w:val="24"/>
        </w:rPr>
        <w:t xml:space="preserve"> characterization and priority hazard reduction</w:t>
      </w:r>
      <w:r w:rsidR="005843C0" w:rsidRPr="001F3C8E">
        <w:rPr>
          <w:szCs w:val="24"/>
        </w:rPr>
        <w:t xml:space="preserve">. </w:t>
      </w:r>
      <w:r w:rsidR="00FA3F34" w:rsidRPr="001F3C8E">
        <w:rPr>
          <w:szCs w:val="24"/>
        </w:rPr>
        <w:t xml:space="preserve">The presence of the source material stockpile has inhibited complete characterization of the </w:t>
      </w:r>
      <w:r w:rsidR="00806684" w:rsidRPr="001F3C8E">
        <w:rPr>
          <w:szCs w:val="24"/>
        </w:rPr>
        <w:t>Site</w:t>
      </w:r>
      <w:r w:rsidR="00FA3F34" w:rsidRPr="001F3C8E">
        <w:rPr>
          <w:szCs w:val="24"/>
        </w:rPr>
        <w:t xml:space="preserve">. Once the material is removed, additional sampling will be necessary to evaluate migration to wetlands and surface waters, assess ecological receptors, and support regulatory decision-making. </w:t>
      </w:r>
      <w:r w:rsidR="000866F3" w:rsidRPr="001F3C8E">
        <w:rPr>
          <w:szCs w:val="24"/>
        </w:rPr>
        <w:t>Mullica</w:t>
      </w:r>
      <w:r w:rsidR="005843C0" w:rsidRPr="001F3C8E">
        <w:rPr>
          <w:szCs w:val="24"/>
        </w:rPr>
        <w:t xml:space="preserve"> is preparing an additional HDSRF application (anticipated: $</w:t>
      </w:r>
      <w:r w:rsidR="00AE1FD6" w:rsidRPr="001F3C8E">
        <w:rPr>
          <w:szCs w:val="24"/>
        </w:rPr>
        <w:t>300</w:t>
      </w:r>
      <w:r w:rsidR="005843C0" w:rsidRPr="001F3C8E">
        <w:rPr>
          <w:szCs w:val="24"/>
        </w:rPr>
        <w:t>,000–$</w:t>
      </w:r>
      <w:r w:rsidR="00AE1FD6" w:rsidRPr="001F3C8E">
        <w:rPr>
          <w:szCs w:val="24"/>
        </w:rPr>
        <w:t>5</w:t>
      </w:r>
      <w:r w:rsidR="005843C0" w:rsidRPr="001F3C8E">
        <w:rPr>
          <w:szCs w:val="24"/>
        </w:rPr>
        <w:t>00,000) to fund</w:t>
      </w:r>
      <w:r w:rsidR="005843C0" w:rsidRPr="001F3C8E">
        <w:rPr>
          <w:b/>
          <w:bCs/>
          <w:szCs w:val="24"/>
        </w:rPr>
        <w:t xml:space="preserve"> </w:t>
      </w:r>
      <w:r w:rsidR="00FA3F34" w:rsidRPr="001F3C8E">
        <w:rPr>
          <w:szCs w:val="24"/>
        </w:rPr>
        <w:t>this additional characterization work.</w:t>
      </w:r>
      <w:r w:rsidR="005843C0" w:rsidRPr="001F3C8E">
        <w:rPr>
          <w:szCs w:val="24"/>
        </w:rPr>
        <w:t xml:space="preserve"> </w:t>
      </w:r>
      <w:r w:rsidR="00395934">
        <w:rPr>
          <w:szCs w:val="24"/>
        </w:rPr>
        <w:t xml:space="preserve"> </w:t>
      </w:r>
    </w:p>
    <w:p w14:paraId="09B8812A" w14:textId="2A603FBA" w:rsidR="00F208FC" w:rsidRPr="001F3C8E" w:rsidRDefault="009910F0" w:rsidP="00F4056D">
      <w:pPr>
        <w:pStyle w:val="Heading3"/>
      </w:pPr>
      <w:r w:rsidRPr="001F3C8E">
        <w:t>1.</w:t>
      </w:r>
      <w:r w:rsidR="000A51CD" w:rsidRPr="001F3C8E">
        <w:t>f</w:t>
      </w:r>
      <w:r w:rsidR="00F208FC" w:rsidRPr="001F3C8E">
        <w:t xml:space="preserve">. Resources Needed for Site Remediation </w:t>
      </w:r>
    </w:p>
    <w:p w14:paraId="1BE18436" w14:textId="37FAB6A9" w:rsidR="00711DF1" w:rsidRPr="001F3C8E" w:rsidRDefault="00EB0A09" w:rsidP="00620A92">
      <w:pPr>
        <w:rPr>
          <w:szCs w:val="24"/>
        </w:rPr>
      </w:pPr>
      <w:r w:rsidRPr="001F3C8E">
        <w:rPr>
          <w:b/>
          <w:bCs/>
          <w:szCs w:val="24"/>
        </w:rPr>
        <w:t xml:space="preserve">EPA Cleanup Grant funds will serve as the primary resource for </w:t>
      </w:r>
      <w:r w:rsidR="00806684" w:rsidRPr="001F3C8E">
        <w:rPr>
          <w:b/>
          <w:bCs/>
          <w:szCs w:val="24"/>
        </w:rPr>
        <w:t>Site</w:t>
      </w:r>
      <w:r w:rsidRPr="001F3C8E">
        <w:rPr>
          <w:b/>
          <w:bCs/>
          <w:szCs w:val="24"/>
        </w:rPr>
        <w:t xml:space="preserve"> remediation, enabling Mullica to implement NJDEP-</w:t>
      </w:r>
      <w:r w:rsidR="008B0CF4" w:rsidRPr="001F3C8E">
        <w:rPr>
          <w:b/>
          <w:bCs/>
          <w:szCs w:val="24"/>
        </w:rPr>
        <w:t>required</w:t>
      </w:r>
      <w:r w:rsidRPr="001F3C8E">
        <w:rPr>
          <w:b/>
          <w:bCs/>
          <w:szCs w:val="24"/>
        </w:rPr>
        <w:t xml:space="preserve"> corrective actions</w:t>
      </w:r>
      <w:r w:rsidRPr="001F3C8E">
        <w:rPr>
          <w:szCs w:val="24"/>
        </w:rPr>
        <w:t xml:space="preserve"> that cannot be completed with </w:t>
      </w:r>
      <w:r w:rsidR="008B0CF4" w:rsidRPr="001F3C8E">
        <w:rPr>
          <w:szCs w:val="24"/>
        </w:rPr>
        <w:t>currently available</w:t>
      </w:r>
      <w:r w:rsidRPr="001F3C8E">
        <w:rPr>
          <w:szCs w:val="24"/>
        </w:rPr>
        <w:t xml:space="preserve"> resources alone. Additional remediation support will include NJDEP </w:t>
      </w:r>
      <w:r w:rsidR="00296B06" w:rsidRPr="001F3C8E">
        <w:rPr>
          <w:szCs w:val="24"/>
        </w:rPr>
        <w:t xml:space="preserve">CSRRP and LSRP </w:t>
      </w:r>
      <w:r w:rsidRPr="001F3C8E">
        <w:rPr>
          <w:szCs w:val="24"/>
        </w:rPr>
        <w:t xml:space="preserve">oversight and potential supplemental </w:t>
      </w:r>
      <w:r w:rsidR="006418EE">
        <w:rPr>
          <w:szCs w:val="24"/>
        </w:rPr>
        <w:t>County Environmental Health Act (</w:t>
      </w:r>
      <w:r w:rsidRPr="001F3C8E">
        <w:rPr>
          <w:szCs w:val="24"/>
        </w:rPr>
        <w:t>CEHA</w:t>
      </w:r>
      <w:r w:rsidR="006418EE">
        <w:rPr>
          <w:szCs w:val="24"/>
        </w:rPr>
        <w:t>)</w:t>
      </w:r>
      <w:r w:rsidRPr="001F3C8E">
        <w:rPr>
          <w:szCs w:val="24"/>
        </w:rPr>
        <w:t xml:space="preserve"> funding for discrete waste management tasks, as available. </w:t>
      </w:r>
      <w:r w:rsidR="007630A8" w:rsidRPr="001F3C8E">
        <w:rPr>
          <w:szCs w:val="24"/>
        </w:rPr>
        <w:t>Mullica</w:t>
      </w:r>
      <w:r w:rsidRPr="001F3C8E">
        <w:rPr>
          <w:szCs w:val="24"/>
        </w:rPr>
        <w:t xml:space="preserve"> will also coordinate with the Pinelands Commission to obtain technical assistance related to ecological restoration planning and compliance with the Pinelands </w:t>
      </w:r>
      <w:r w:rsidR="00296B06" w:rsidRPr="001F3C8E">
        <w:rPr>
          <w:szCs w:val="24"/>
        </w:rPr>
        <w:t>CMP</w:t>
      </w:r>
      <w:r w:rsidRPr="001F3C8E">
        <w:rPr>
          <w:szCs w:val="24"/>
        </w:rPr>
        <w:t>.</w:t>
      </w:r>
    </w:p>
    <w:p w14:paraId="1C97397E" w14:textId="514AFF03" w:rsidR="00DF40D7" w:rsidRPr="001F3C8E" w:rsidRDefault="009910F0" w:rsidP="00F4056D">
      <w:pPr>
        <w:pStyle w:val="Heading3"/>
      </w:pPr>
      <w:r w:rsidRPr="001F3C8E">
        <w:t>1.</w:t>
      </w:r>
      <w:r w:rsidR="00FA344A" w:rsidRPr="001F3C8E">
        <w:t>g</w:t>
      </w:r>
      <w:r w:rsidR="00DF40D7" w:rsidRPr="001F3C8E">
        <w:t xml:space="preserve">. Resources Needed for Site Reuse </w:t>
      </w:r>
    </w:p>
    <w:p w14:paraId="12110BBC" w14:textId="25E44C8D" w:rsidR="00F208FC" w:rsidRPr="001F3C8E" w:rsidRDefault="00082D63" w:rsidP="001B7910">
      <w:pPr>
        <w:rPr>
          <w:szCs w:val="24"/>
        </w:rPr>
      </w:pPr>
      <w:r w:rsidRPr="001F3C8E">
        <w:rPr>
          <w:b/>
          <w:bCs/>
          <w:szCs w:val="24"/>
        </w:rPr>
        <w:t xml:space="preserve">Collectively, EPA Cleanup Grant funding will leverage more than $550,000–$650,000 in secured and anticipated public resources, while enabling future reuse investments that are not feasible without cleanup. </w:t>
      </w:r>
      <w:r w:rsidR="003130C8" w:rsidRPr="001F3C8E">
        <w:rPr>
          <w:szCs w:val="24"/>
        </w:rPr>
        <w:t xml:space="preserve">While no reuse funding is currently secured, EPA Cleanup Grant funding will stimulate the availability of reuse-oriented resources by resolving contamination and regulatory uncertainty that currently preclude investment. </w:t>
      </w:r>
    </w:p>
    <w:p w14:paraId="6511A050" w14:textId="51966BBF" w:rsidR="00DA12B1" w:rsidRPr="001F3C8E" w:rsidRDefault="009A4122" w:rsidP="001F3C8E">
      <w:pPr>
        <w:spacing w:after="0"/>
        <w:jc w:val="center"/>
        <w:rPr>
          <w:b/>
          <w:bCs/>
          <w:sz w:val="20"/>
          <w:szCs w:val="20"/>
        </w:rPr>
      </w:pPr>
      <w:r w:rsidRPr="001F3C8E">
        <w:rPr>
          <w:b/>
          <w:bCs/>
          <w:sz w:val="20"/>
          <w:szCs w:val="20"/>
        </w:rPr>
        <w:t xml:space="preserve">Table 1. </w:t>
      </w:r>
      <w:r w:rsidR="00DA12B1" w:rsidRPr="001F3C8E">
        <w:rPr>
          <w:b/>
          <w:bCs/>
          <w:sz w:val="20"/>
          <w:szCs w:val="20"/>
        </w:rPr>
        <w:t>Resources Needed for Site Characterization, Remediation, and Reuse</w:t>
      </w:r>
    </w:p>
    <w:tbl>
      <w:tblPr>
        <w:tblStyle w:val="TableGrid1"/>
        <w:tblW w:w="11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1733"/>
        <w:gridCol w:w="1620"/>
        <w:gridCol w:w="5490"/>
      </w:tblGrid>
      <w:tr w:rsidR="003837B3" w:rsidRPr="008F1FBA" w14:paraId="047EF102" w14:textId="77777777" w:rsidTr="001F3C8E">
        <w:trPr>
          <w:trHeight w:val="107"/>
          <w:tblHeader/>
          <w:jc w:val="center"/>
        </w:trPr>
        <w:tc>
          <w:tcPr>
            <w:tcW w:w="2762" w:type="dxa"/>
            <w:shd w:val="clear" w:color="auto" w:fill="DFDCDA" w:themeFill="text1" w:themeFillTint="33"/>
            <w:vAlign w:val="center"/>
          </w:tcPr>
          <w:p w14:paraId="640D99C3" w14:textId="77777777" w:rsidR="003837B3" w:rsidRPr="00104202" w:rsidRDefault="003837B3" w:rsidP="00690CAA">
            <w:pPr>
              <w:pStyle w:val="TableColumnHeading"/>
              <w:rPr>
                <w:sz w:val="20"/>
                <w:szCs w:val="20"/>
              </w:rPr>
            </w:pPr>
            <w:r w:rsidRPr="00104202">
              <w:rPr>
                <w:sz w:val="20"/>
                <w:szCs w:val="20"/>
              </w:rPr>
              <w:t>Name of Resource</w:t>
            </w:r>
          </w:p>
        </w:tc>
        <w:tc>
          <w:tcPr>
            <w:tcW w:w="1733" w:type="dxa"/>
            <w:shd w:val="clear" w:color="auto" w:fill="DFDCDA" w:themeFill="text1" w:themeFillTint="33"/>
            <w:vAlign w:val="center"/>
          </w:tcPr>
          <w:p w14:paraId="78D0A760" w14:textId="12B0639E" w:rsidR="003837B3" w:rsidRPr="00104202" w:rsidRDefault="003837B3" w:rsidP="00690CAA">
            <w:pPr>
              <w:pStyle w:val="TableColumnHeading"/>
              <w:rPr>
                <w:sz w:val="20"/>
                <w:szCs w:val="20"/>
              </w:rPr>
            </w:pPr>
            <w:r w:rsidRPr="00104202">
              <w:rPr>
                <w:sz w:val="20"/>
                <w:szCs w:val="20"/>
              </w:rPr>
              <w:t>Designation</w:t>
            </w:r>
          </w:p>
        </w:tc>
        <w:tc>
          <w:tcPr>
            <w:tcW w:w="1620" w:type="dxa"/>
            <w:shd w:val="clear" w:color="auto" w:fill="DFDCDA" w:themeFill="text1" w:themeFillTint="33"/>
            <w:vAlign w:val="center"/>
          </w:tcPr>
          <w:p w14:paraId="77B21066" w14:textId="13EA6716" w:rsidR="003837B3" w:rsidRPr="00104202" w:rsidRDefault="11AA6032" w:rsidP="00690CAA">
            <w:pPr>
              <w:pStyle w:val="TableColumnHeading"/>
              <w:rPr>
                <w:sz w:val="20"/>
                <w:szCs w:val="20"/>
              </w:rPr>
            </w:pPr>
            <w:r w:rsidRPr="00104202">
              <w:rPr>
                <w:sz w:val="20"/>
                <w:szCs w:val="20"/>
              </w:rPr>
              <w:t xml:space="preserve">Secured or </w:t>
            </w:r>
            <w:r w:rsidR="00B05C90">
              <w:rPr>
                <w:sz w:val="20"/>
                <w:szCs w:val="20"/>
              </w:rPr>
              <w:t>not</w:t>
            </w:r>
            <w:r w:rsidRPr="00104202">
              <w:rPr>
                <w:sz w:val="20"/>
                <w:szCs w:val="20"/>
              </w:rPr>
              <w:t>?</w:t>
            </w:r>
          </w:p>
        </w:tc>
        <w:tc>
          <w:tcPr>
            <w:tcW w:w="5490" w:type="dxa"/>
            <w:shd w:val="clear" w:color="auto" w:fill="DFDCDA" w:themeFill="text1" w:themeFillTint="33"/>
            <w:vAlign w:val="center"/>
          </w:tcPr>
          <w:p w14:paraId="052C0315" w14:textId="77777777" w:rsidR="003837B3" w:rsidRPr="00104202" w:rsidRDefault="003837B3" w:rsidP="00690CAA">
            <w:pPr>
              <w:pStyle w:val="TableColumnHeading"/>
              <w:rPr>
                <w:sz w:val="20"/>
                <w:szCs w:val="20"/>
              </w:rPr>
            </w:pPr>
            <w:r w:rsidRPr="00104202">
              <w:rPr>
                <w:sz w:val="20"/>
                <w:szCs w:val="20"/>
              </w:rPr>
              <w:t>Additional Details or Information About the Resource</w:t>
            </w:r>
          </w:p>
        </w:tc>
      </w:tr>
      <w:tr w:rsidR="0012385E" w:rsidRPr="008F1FBA" w14:paraId="315934E1" w14:textId="77777777" w:rsidTr="001F3C8E">
        <w:trPr>
          <w:trHeight w:val="350"/>
          <w:jc w:val="center"/>
        </w:trPr>
        <w:tc>
          <w:tcPr>
            <w:tcW w:w="2762" w:type="dxa"/>
            <w:vAlign w:val="center"/>
          </w:tcPr>
          <w:p w14:paraId="14F08BEE" w14:textId="19F40D15" w:rsidR="0012385E" w:rsidRPr="00104202" w:rsidRDefault="0012385E" w:rsidP="0012385E">
            <w:pPr>
              <w:pStyle w:val="TableContent"/>
              <w:rPr>
                <w:sz w:val="20"/>
                <w:szCs w:val="20"/>
              </w:rPr>
            </w:pPr>
            <w:r w:rsidRPr="00104202">
              <w:rPr>
                <w:rFonts w:ascii="Calibri" w:hAnsi="Calibri" w:cs="Calibri"/>
                <w:color w:val="000000"/>
                <w:sz w:val="20"/>
                <w:szCs w:val="20"/>
              </w:rPr>
              <w:t>NJDEP/</w:t>
            </w:r>
            <w:r w:rsidR="00DE6E89" w:rsidRPr="00104202">
              <w:rPr>
                <w:rFonts w:ascii="Calibri" w:hAnsi="Calibri" w:cs="Calibri"/>
                <w:color w:val="000000"/>
                <w:sz w:val="20"/>
                <w:szCs w:val="20"/>
              </w:rPr>
              <w:t xml:space="preserve">New Jersey </w:t>
            </w:r>
            <w:r w:rsidR="00582525" w:rsidRPr="00104202">
              <w:rPr>
                <w:rFonts w:ascii="Calibri" w:hAnsi="Calibri" w:cs="Calibri"/>
                <w:color w:val="000000"/>
                <w:sz w:val="20"/>
                <w:szCs w:val="20"/>
              </w:rPr>
              <w:t>Economic Development Authority (</w:t>
            </w:r>
            <w:r w:rsidRPr="00104202">
              <w:rPr>
                <w:rFonts w:ascii="Calibri" w:hAnsi="Calibri" w:cs="Calibri"/>
                <w:color w:val="000000"/>
                <w:sz w:val="20"/>
                <w:szCs w:val="20"/>
              </w:rPr>
              <w:t>NJEDA</w:t>
            </w:r>
            <w:r w:rsidR="00582525" w:rsidRPr="00104202">
              <w:rPr>
                <w:rFonts w:ascii="Calibri" w:hAnsi="Calibri" w:cs="Calibri"/>
                <w:color w:val="000000"/>
                <w:sz w:val="20"/>
                <w:szCs w:val="20"/>
              </w:rPr>
              <w:t>)</w:t>
            </w:r>
            <w:r w:rsidRPr="00104202">
              <w:rPr>
                <w:rFonts w:ascii="Calibri" w:hAnsi="Calibri" w:cs="Calibri"/>
                <w:color w:val="000000"/>
                <w:sz w:val="20"/>
                <w:szCs w:val="20"/>
              </w:rPr>
              <w:t xml:space="preserve"> HDSRF (Prior Funding)</w:t>
            </w:r>
          </w:p>
        </w:tc>
        <w:tc>
          <w:tcPr>
            <w:tcW w:w="1733" w:type="dxa"/>
            <w:vAlign w:val="center"/>
          </w:tcPr>
          <w:p w14:paraId="6B34F7C2" w14:textId="5DA9E38D" w:rsidR="0012385E" w:rsidRPr="00104202" w:rsidRDefault="0012385E" w:rsidP="0012385E">
            <w:pPr>
              <w:pStyle w:val="TableContent"/>
              <w:rPr>
                <w:sz w:val="20"/>
                <w:szCs w:val="20"/>
              </w:rPr>
            </w:pPr>
            <w:r w:rsidRPr="00104202">
              <w:rPr>
                <w:sz w:val="20"/>
                <w:szCs w:val="20"/>
              </w:rPr>
              <w:t>(1.</w:t>
            </w:r>
            <w:r w:rsidR="00341297">
              <w:rPr>
                <w:sz w:val="20"/>
                <w:szCs w:val="20"/>
              </w:rPr>
              <w:t>e</w:t>
            </w:r>
            <w:r w:rsidRPr="00104202">
              <w:rPr>
                <w:sz w:val="20"/>
                <w:szCs w:val="20"/>
              </w:rPr>
              <w:t>) Assessment</w:t>
            </w:r>
          </w:p>
        </w:tc>
        <w:tc>
          <w:tcPr>
            <w:tcW w:w="1620" w:type="dxa"/>
            <w:vAlign w:val="center"/>
          </w:tcPr>
          <w:p w14:paraId="6A11C68F" w14:textId="1042FF4F" w:rsidR="0012385E" w:rsidRPr="00104202" w:rsidRDefault="0012385E" w:rsidP="0012385E">
            <w:pPr>
              <w:pStyle w:val="TableContent"/>
              <w:rPr>
                <w:sz w:val="20"/>
                <w:szCs w:val="20"/>
              </w:rPr>
            </w:pPr>
            <w:r w:rsidRPr="00104202">
              <w:rPr>
                <w:rFonts w:ascii="Calibri" w:hAnsi="Calibri" w:cs="Calibri"/>
                <w:color w:val="000000"/>
                <w:sz w:val="20"/>
                <w:szCs w:val="20"/>
              </w:rPr>
              <w:t>Secured</w:t>
            </w:r>
          </w:p>
        </w:tc>
        <w:tc>
          <w:tcPr>
            <w:tcW w:w="5490" w:type="dxa"/>
            <w:vAlign w:val="center"/>
          </w:tcPr>
          <w:p w14:paraId="46FB4A2B" w14:textId="598B8C23" w:rsidR="0012385E" w:rsidRPr="00104202" w:rsidRDefault="00292B14" w:rsidP="0012385E">
            <w:pPr>
              <w:pStyle w:val="TableContent"/>
              <w:rPr>
                <w:sz w:val="20"/>
                <w:szCs w:val="20"/>
              </w:rPr>
            </w:pPr>
            <w:r w:rsidRPr="00104202">
              <w:rPr>
                <w:rFonts w:ascii="Calibri" w:hAnsi="Calibri" w:cs="Calibri"/>
                <w:color w:val="000000"/>
                <w:sz w:val="20"/>
                <w:szCs w:val="20"/>
              </w:rPr>
              <w:t xml:space="preserve">Mullica </w:t>
            </w:r>
            <w:r w:rsidR="0012385E" w:rsidRPr="00104202">
              <w:rPr>
                <w:rFonts w:ascii="Calibri" w:hAnsi="Calibri" w:cs="Calibri"/>
                <w:color w:val="000000"/>
                <w:sz w:val="20"/>
                <w:szCs w:val="20"/>
              </w:rPr>
              <w:t>previously awarded HDSRF grants for Preliminary Assessment and Site Investigation</w:t>
            </w:r>
            <w:r w:rsidRPr="00104202">
              <w:rPr>
                <w:rFonts w:ascii="Calibri" w:hAnsi="Calibri" w:cs="Calibri"/>
                <w:color w:val="000000"/>
                <w:sz w:val="20"/>
                <w:szCs w:val="20"/>
              </w:rPr>
              <w:t>,</w:t>
            </w:r>
            <w:r w:rsidR="0012385E" w:rsidRPr="00104202">
              <w:rPr>
                <w:rFonts w:ascii="Calibri" w:hAnsi="Calibri" w:cs="Calibri"/>
                <w:color w:val="000000"/>
                <w:sz w:val="20"/>
                <w:szCs w:val="20"/>
              </w:rPr>
              <w:t xml:space="preserve"> confirming </w:t>
            </w:r>
            <w:r w:rsidR="00164D48" w:rsidRPr="00104202">
              <w:rPr>
                <w:rFonts w:ascii="Calibri" w:hAnsi="Calibri" w:cs="Calibri"/>
                <w:color w:val="000000"/>
                <w:sz w:val="20"/>
                <w:szCs w:val="20"/>
              </w:rPr>
              <w:t>Site contaminants</w:t>
            </w:r>
            <w:r w:rsidR="0012385E" w:rsidRPr="00104202">
              <w:rPr>
                <w:rFonts w:ascii="Calibri" w:hAnsi="Calibri" w:cs="Calibri"/>
                <w:color w:val="000000"/>
                <w:sz w:val="20"/>
                <w:szCs w:val="20"/>
              </w:rPr>
              <w:t>.</w:t>
            </w:r>
          </w:p>
        </w:tc>
      </w:tr>
      <w:tr w:rsidR="0012385E" w:rsidRPr="008F1FBA" w14:paraId="660D92FC" w14:textId="77777777" w:rsidTr="001F3C8E">
        <w:trPr>
          <w:trHeight w:val="480"/>
          <w:jc w:val="center"/>
        </w:trPr>
        <w:tc>
          <w:tcPr>
            <w:tcW w:w="2762" w:type="dxa"/>
            <w:vAlign w:val="center"/>
          </w:tcPr>
          <w:p w14:paraId="464E6CBC" w14:textId="692EDD63" w:rsidR="0012385E" w:rsidRPr="00104202" w:rsidRDefault="0012385E" w:rsidP="0012385E">
            <w:pPr>
              <w:pStyle w:val="TableContent"/>
              <w:rPr>
                <w:sz w:val="20"/>
                <w:szCs w:val="20"/>
              </w:rPr>
            </w:pPr>
            <w:r w:rsidRPr="00104202">
              <w:rPr>
                <w:rFonts w:ascii="Calibri" w:hAnsi="Calibri" w:cs="Calibri"/>
                <w:color w:val="000000"/>
                <w:sz w:val="20"/>
                <w:szCs w:val="20"/>
              </w:rPr>
              <w:t>NJDEP/NJEDA HDSRF</w:t>
            </w:r>
          </w:p>
        </w:tc>
        <w:tc>
          <w:tcPr>
            <w:tcW w:w="1733" w:type="dxa"/>
            <w:vAlign w:val="center"/>
          </w:tcPr>
          <w:p w14:paraId="49AE4FB3" w14:textId="45EFFC7A" w:rsidR="0012385E" w:rsidRPr="00104202" w:rsidRDefault="0012385E" w:rsidP="0012385E">
            <w:pPr>
              <w:pStyle w:val="TableContent"/>
              <w:rPr>
                <w:sz w:val="20"/>
                <w:szCs w:val="20"/>
              </w:rPr>
            </w:pPr>
            <w:r w:rsidRPr="00104202">
              <w:rPr>
                <w:sz w:val="20"/>
                <w:szCs w:val="20"/>
              </w:rPr>
              <w:t>(1.</w:t>
            </w:r>
            <w:r w:rsidR="006C20BB">
              <w:rPr>
                <w:sz w:val="20"/>
                <w:szCs w:val="20"/>
              </w:rPr>
              <w:t>e</w:t>
            </w:r>
            <w:r w:rsidRPr="00104202">
              <w:rPr>
                <w:sz w:val="20"/>
                <w:szCs w:val="20"/>
              </w:rPr>
              <w:t>) Assessment</w:t>
            </w:r>
          </w:p>
        </w:tc>
        <w:tc>
          <w:tcPr>
            <w:tcW w:w="1620" w:type="dxa"/>
            <w:vAlign w:val="center"/>
          </w:tcPr>
          <w:p w14:paraId="769F3314" w14:textId="77777777" w:rsidR="0012385E" w:rsidRPr="00104202" w:rsidRDefault="0012385E" w:rsidP="0012385E">
            <w:pPr>
              <w:pStyle w:val="TableContent"/>
              <w:rPr>
                <w:rFonts w:ascii="Calibri" w:hAnsi="Calibri" w:cs="Calibri"/>
                <w:color w:val="000000"/>
                <w:sz w:val="20"/>
                <w:szCs w:val="20"/>
              </w:rPr>
            </w:pPr>
            <w:r w:rsidRPr="00104202">
              <w:rPr>
                <w:rFonts w:ascii="Calibri" w:hAnsi="Calibri" w:cs="Calibri"/>
                <w:color w:val="000000"/>
                <w:sz w:val="20"/>
                <w:szCs w:val="20"/>
              </w:rPr>
              <w:t xml:space="preserve">Unsecured </w:t>
            </w:r>
          </w:p>
          <w:p w14:paraId="3F3452FB" w14:textId="547787F7" w:rsidR="0012385E" w:rsidRPr="00104202" w:rsidRDefault="0012385E" w:rsidP="0012385E">
            <w:pPr>
              <w:pStyle w:val="TableContent"/>
              <w:rPr>
                <w:sz w:val="20"/>
                <w:szCs w:val="20"/>
              </w:rPr>
            </w:pPr>
            <w:r w:rsidRPr="00104202">
              <w:rPr>
                <w:rFonts w:ascii="Calibri" w:hAnsi="Calibri" w:cs="Calibri"/>
                <w:color w:val="000000"/>
                <w:sz w:val="20"/>
                <w:szCs w:val="20"/>
              </w:rPr>
              <w:t>(in progress)</w:t>
            </w:r>
          </w:p>
        </w:tc>
        <w:tc>
          <w:tcPr>
            <w:tcW w:w="5490" w:type="dxa"/>
            <w:vAlign w:val="center"/>
          </w:tcPr>
          <w:p w14:paraId="55602F90" w14:textId="2D1B4143" w:rsidR="0012385E" w:rsidRPr="00104202" w:rsidRDefault="00292B14" w:rsidP="0012385E">
            <w:pPr>
              <w:pStyle w:val="TableContent"/>
              <w:rPr>
                <w:sz w:val="20"/>
                <w:szCs w:val="20"/>
              </w:rPr>
            </w:pPr>
            <w:r w:rsidRPr="00104202">
              <w:rPr>
                <w:rFonts w:ascii="Calibri" w:hAnsi="Calibri" w:cs="Calibri"/>
                <w:color w:val="000000"/>
                <w:sz w:val="20"/>
                <w:szCs w:val="20"/>
              </w:rPr>
              <w:t xml:space="preserve">Mullica </w:t>
            </w:r>
            <w:r w:rsidR="0012385E" w:rsidRPr="00104202">
              <w:rPr>
                <w:rFonts w:ascii="Calibri" w:hAnsi="Calibri" w:cs="Calibri"/>
                <w:color w:val="000000"/>
                <w:sz w:val="20"/>
                <w:szCs w:val="20"/>
              </w:rPr>
              <w:t xml:space="preserve">is currently preparing </w:t>
            </w:r>
            <w:r w:rsidRPr="00104202">
              <w:rPr>
                <w:rFonts w:ascii="Calibri" w:hAnsi="Calibri" w:cs="Calibri"/>
                <w:color w:val="000000"/>
                <w:sz w:val="20"/>
                <w:szCs w:val="20"/>
              </w:rPr>
              <w:t xml:space="preserve">an </w:t>
            </w:r>
            <w:r w:rsidR="0012385E" w:rsidRPr="00104202">
              <w:rPr>
                <w:rFonts w:ascii="Calibri" w:hAnsi="Calibri" w:cs="Calibri"/>
                <w:color w:val="000000"/>
                <w:sz w:val="20"/>
                <w:szCs w:val="20"/>
              </w:rPr>
              <w:t xml:space="preserve">application for </w:t>
            </w:r>
            <w:r w:rsidR="00BA5078" w:rsidRPr="00104202">
              <w:rPr>
                <w:rFonts w:ascii="Calibri" w:hAnsi="Calibri" w:cs="Calibri"/>
                <w:color w:val="000000"/>
                <w:sz w:val="20"/>
                <w:szCs w:val="20"/>
              </w:rPr>
              <w:t>remedial investigation</w:t>
            </w:r>
            <w:r w:rsidR="0012385E" w:rsidRPr="00104202">
              <w:rPr>
                <w:rFonts w:ascii="Calibri" w:hAnsi="Calibri" w:cs="Calibri"/>
                <w:color w:val="000000"/>
                <w:sz w:val="20"/>
                <w:szCs w:val="20"/>
              </w:rPr>
              <w:t xml:space="preserve"> to delineate contamination, </w:t>
            </w:r>
            <w:r w:rsidRPr="00104202">
              <w:rPr>
                <w:rFonts w:ascii="Calibri" w:hAnsi="Calibri" w:cs="Calibri"/>
                <w:color w:val="000000"/>
                <w:sz w:val="20"/>
                <w:szCs w:val="20"/>
              </w:rPr>
              <w:t xml:space="preserve">a </w:t>
            </w:r>
            <w:r w:rsidR="0012385E" w:rsidRPr="00104202">
              <w:rPr>
                <w:rFonts w:ascii="Calibri" w:hAnsi="Calibri" w:cs="Calibri"/>
                <w:color w:val="000000"/>
                <w:sz w:val="20"/>
                <w:szCs w:val="20"/>
              </w:rPr>
              <w:t xml:space="preserve">receptor evaluation, </w:t>
            </w:r>
            <w:r w:rsidRPr="00104202">
              <w:rPr>
                <w:rFonts w:ascii="Calibri" w:hAnsi="Calibri" w:cs="Calibri"/>
                <w:color w:val="000000"/>
                <w:sz w:val="20"/>
                <w:szCs w:val="20"/>
              </w:rPr>
              <w:t xml:space="preserve">and a </w:t>
            </w:r>
            <w:r w:rsidR="0012385E" w:rsidRPr="00104202">
              <w:rPr>
                <w:rFonts w:ascii="Calibri" w:hAnsi="Calibri" w:cs="Calibri"/>
                <w:color w:val="000000"/>
                <w:sz w:val="20"/>
                <w:szCs w:val="20"/>
              </w:rPr>
              <w:t>potable well assessment.</w:t>
            </w:r>
          </w:p>
        </w:tc>
      </w:tr>
      <w:tr w:rsidR="0012385E" w:rsidRPr="008F1FBA" w14:paraId="6B4BC4C8" w14:textId="77777777" w:rsidTr="001F3C8E">
        <w:trPr>
          <w:trHeight w:val="480"/>
          <w:jc w:val="center"/>
        </w:trPr>
        <w:tc>
          <w:tcPr>
            <w:tcW w:w="2762" w:type="dxa"/>
            <w:vAlign w:val="center"/>
          </w:tcPr>
          <w:p w14:paraId="64334356" w14:textId="6990CD22" w:rsidR="0012385E" w:rsidRPr="00104202" w:rsidRDefault="0012385E" w:rsidP="0012385E">
            <w:pPr>
              <w:pStyle w:val="TableContent"/>
              <w:rPr>
                <w:rFonts w:ascii="Calibri" w:hAnsi="Calibri" w:cs="Calibri"/>
                <w:color w:val="000000"/>
                <w:sz w:val="20"/>
                <w:szCs w:val="20"/>
              </w:rPr>
            </w:pPr>
            <w:r w:rsidRPr="00104202">
              <w:rPr>
                <w:rFonts w:ascii="Calibri" w:hAnsi="Calibri" w:cs="Calibri"/>
                <w:color w:val="000000"/>
                <w:sz w:val="20"/>
                <w:szCs w:val="20"/>
              </w:rPr>
              <w:t>NJDEP Green Acres Program</w:t>
            </w:r>
          </w:p>
        </w:tc>
        <w:tc>
          <w:tcPr>
            <w:tcW w:w="1733" w:type="dxa"/>
            <w:vAlign w:val="center"/>
          </w:tcPr>
          <w:p w14:paraId="1DAB18CE" w14:textId="0CE3FDD1" w:rsidR="0012385E" w:rsidRPr="00104202" w:rsidRDefault="0012385E" w:rsidP="0012385E">
            <w:pPr>
              <w:pStyle w:val="TableContent"/>
              <w:rPr>
                <w:rFonts w:ascii="Calibri" w:hAnsi="Calibri" w:cs="Calibri"/>
                <w:color w:val="000000"/>
                <w:sz w:val="20"/>
                <w:szCs w:val="20"/>
                <w:highlight w:val="yellow"/>
              </w:rPr>
            </w:pPr>
            <w:r w:rsidRPr="00104202">
              <w:rPr>
                <w:sz w:val="20"/>
                <w:szCs w:val="20"/>
              </w:rPr>
              <w:t>(1.</w:t>
            </w:r>
            <w:r w:rsidR="006C20BB">
              <w:rPr>
                <w:sz w:val="20"/>
                <w:szCs w:val="20"/>
              </w:rPr>
              <w:t>g</w:t>
            </w:r>
            <w:r w:rsidRPr="00104202">
              <w:rPr>
                <w:sz w:val="20"/>
                <w:szCs w:val="20"/>
              </w:rPr>
              <w:t>) Reuse</w:t>
            </w:r>
          </w:p>
        </w:tc>
        <w:tc>
          <w:tcPr>
            <w:tcW w:w="1620" w:type="dxa"/>
            <w:vAlign w:val="center"/>
          </w:tcPr>
          <w:p w14:paraId="47E35327" w14:textId="5AEA81CE" w:rsidR="0012385E" w:rsidRPr="00104202" w:rsidRDefault="0012385E" w:rsidP="0012385E">
            <w:pPr>
              <w:pStyle w:val="TableContent"/>
              <w:rPr>
                <w:rFonts w:ascii="Calibri" w:hAnsi="Calibri" w:cs="Calibri"/>
                <w:color w:val="000000"/>
                <w:sz w:val="20"/>
                <w:szCs w:val="20"/>
              </w:rPr>
            </w:pPr>
            <w:r w:rsidRPr="00104202">
              <w:rPr>
                <w:rFonts w:ascii="Calibri" w:hAnsi="Calibri" w:cs="Calibri"/>
                <w:color w:val="000000"/>
                <w:sz w:val="20"/>
                <w:szCs w:val="20"/>
              </w:rPr>
              <w:t>Unsecured</w:t>
            </w:r>
          </w:p>
        </w:tc>
        <w:tc>
          <w:tcPr>
            <w:tcW w:w="5490" w:type="dxa"/>
            <w:vAlign w:val="center"/>
          </w:tcPr>
          <w:p w14:paraId="76F9E179" w14:textId="718290BA" w:rsidR="0012385E" w:rsidRPr="00104202" w:rsidRDefault="0012385E" w:rsidP="0012385E">
            <w:pPr>
              <w:pStyle w:val="TableContent"/>
              <w:rPr>
                <w:rFonts w:ascii="Calibri" w:hAnsi="Calibri" w:cs="Calibri"/>
                <w:color w:val="000000"/>
                <w:sz w:val="20"/>
                <w:szCs w:val="20"/>
              </w:rPr>
            </w:pPr>
            <w:r w:rsidRPr="00104202">
              <w:rPr>
                <w:rFonts w:ascii="Calibri" w:hAnsi="Calibri" w:cs="Calibri"/>
                <w:color w:val="000000"/>
                <w:sz w:val="20"/>
                <w:szCs w:val="20"/>
              </w:rPr>
              <w:t>Potential funding for ecological restoration and passive recreation amenities.</w:t>
            </w:r>
          </w:p>
        </w:tc>
      </w:tr>
      <w:tr w:rsidR="0012385E" w:rsidRPr="008F1FBA" w14:paraId="4C16EC7B" w14:textId="77777777" w:rsidTr="001F3C8E">
        <w:trPr>
          <w:trHeight w:val="480"/>
          <w:jc w:val="center"/>
        </w:trPr>
        <w:tc>
          <w:tcPr>
            <w:tcW w:w="2762" w:type="dxa"/>
            <w:vAlign w:val="center"/>
          </w:tcPr>
          <w:p w14:paraId="0A4DEBC7" w14:textId="38F7280E" w:rsidR="0012385E" w:rsidRPr="00104202" w:rsidRDefault="0012385E" w:rsidP="0012385E">
            <w:pPr>
              <w:pStyle w:val="TableContent"/>
              <w:rPr>
                <w:rFonts w:ascii="Calibri" w:hAnsi="Calibri" w:cs="Calibri"/>
                <w:color w:val="000000"/>
                <w:sz w:val="20"/>
                <w:szCs w:val="20"/>
              </w:rPr>
            </w:pPr>
            <w:r w:rsidRPr="00104202">
              <w:rPr>
                <w:rFonts w:ascii="Calibri" w:hAnsi="Calibri" w:cs="Calibri"/>
                <w:color w:val="000000"/>
                <w:sz w:val="20"/>
                <w:szCs w:val="20"/>
              </w:rPr>
              <w:t>NJEDA Community Development Block Grants</w:t>
            </w:r>
          </w:p>
        </w:tc>
        <w:tc>
          <w:tcPr>
            <w:tcW w:w="1733" w:type="dxa"/>
            <w:vAlign w:val="center"/>
          </w:tcPr>
          <w:p w14:paraId="6A5AEB0F" w14:textId="218CF9B8" w:rsidR="0012385E" w:rsidRPr="00104202" w:rsidRDefault="0012385E" w:rsidP="0012385E">
            <w:pPr>
              <w:pStyle w:val="TableContent"/>
              <w:rPr>
                <w:rFonts w:ascii="Calibri" w:hAnsi="Calibri" w:cs="Calibri"/>
                <w:color w:val="000000"/>
                <w:sz w:val="20"/>
                <w:szCs w:val="20"/>
                <w:highlight w:val="yellow"/>
              </w:rPr>
            </w:pPr>
            <w:r w:rsidRPr="00104202">
              <w:rPr>
                <w:sz w:val="20"/>
                <w:szCs w:val="20"/>
              </w:rPr>
              <w:t>(1.</w:t>
            </w:r>
            <w:r w:rsidR="006C20BB">
              <w:rPr>
                <w:sz w:val="20"/>
                <w:szCs w:val="20"/>
              </w:rPr>
              <w:t>g</w:t>
            </w:r>
            <w:r w:rsidRPr="00104202">
              <w:rPr>
                <w:sz w:val="20"/>
                <w:szCs w:val="20"/>
              </w:rPr>
              <w:t>) Reuse</w:t>
            </w:r>
          </w:p>
        </w:tc>
        <w:tc>
          <w:tcPr>
            <w:tcW w:w="1620" w:type="dxa"/>
            <w:vAlign w:val="center"/>
          </w:tcPr>
          <w:p w14:paraId="3CF8A060" w14:textId="3293A299" w:rsidR="0012385E" w:rsidRPr="00104202" w:rsidRDefault="0012385E" w:rsidP="0012385E">
            <w:pPr>
              <w:pStyle w:val="TableContent"/>
              <w:rPr>
                <w:rFonts w:ascii="Calibri" w:hAnsi="Calibri" w:cs="Calibri"/>
                <w:color w:val="000000"/>
                <w:sz w:val="20"/>
                <w:szCs w:val="20"/>
              </w:rPr>
            </w:pPr>
            <w:r w:rsidRPr="00104202">
              <w:rPr>
                <w:rFonts w:ascii="Calibri" w:hAnsi="Calibri" w:cs="Calibri"/>
                <w:color w:val="000000"/>
                <w:sz w:val="20"/>
                <w:szCs w:val="20"/>
              </w:rPr>
              <w:t>Unsecured</w:t>
            </w:r>
          </w:p>
        </w:tc>
        <w:tc>
          <w:tcPr>
            <w:tcW w:w="5490" w:type="dxa"/>
            <w:vAlign w:val="center"/>
          </w:tcPr>
          <w:p w14:paraId="292D5B5E" w14:textId="64D195BB" w:rsidR="0012385E" w:rsidRPr="00104202" w:rsidRDefault="0012385E" w:rsidP="0012385E">
            <w:pPr>
              <w:pStyle w:val="TableContent"/>
              <w:rPr>
                <w:rFonts w:ascii="Calibri" w:hAnsi="Calibri" w:cs="Calibri"/>
                <w:color w:val="000000"/>
                <w:sz w:val="20"/>
                <w:szCs w:val="20"/>
              </w:rPr>
            </w:pPr>
            <w:r w:rsidRPr="00104202">
              <w:rPr>
                <w:rFonts w:ascii="Calibri" w:hAnsi="Calibri" w:cs="Calibri"/>
                <w:color w:val="000000"/>
                <w:sz w:val="20"/>
                <w:szCs w:val="20"/>
              </w:rPr>
              <w:t>Could support low-impact community amenities and infrastructure improvements.</w:t>
            </w:r>
          </w:p>
        </w:tc>
      </w:tr>
      <w:tr w:rsidR="0012385E" w:rsidRPr="008F1FBA" w14:paraId="6F4B2445" w14:textId="77777777" w:rsidTr="001F3C8E">
        <w:trPr>
          <w:trHeight w:val="480"/>
          <w:jc w:val="center"/>
        </w:trPr>
        <w:tc>
          <w:tcPr>
            <w:tcW w:w="2762" w:type="dxa"/>
            <w:vAlign w:val="center"/>
          </w:tcPr>
          <w:p w14:paraId="18BCE30F" w14:textId="576A1214" w:rsidR="0012385E" w:rsidRPr="00104202" w:rsidRDefault="0012385E" w:rsidP="0012385E">
            <w:pPr>
              <w:pStyle w:val="TableContent"/>
              <w:rPr>
                <w:rFonts w:ascii="Calibri" w:hAnsi="Calibri" w:cs="Calibri"/>
                <w:color w:val="000000"/>
                <w:sz w:val="20"/>
                <w:szCs w:val="20"/>
              </w:rPr>
            </w:pPr>
            <w:r w:rsidRPr="00104202">
              <w:rPr>
                <w:rFonts w:ascii="Calibri" w:hAnsi="Calibri" w:cs="Calibri"/>
                <w:color w:val="000000"/>
                <w:sz w:val="20"/>
                <w:szCs w:val="20"/>
              </w:rPr>
              <w:t>Private/Nonprofit Partnerships (e.g., Nature Conservancy)</w:t>
            </w:r>
          </w:p>
        </w:tc>
        <w:tc>
          <w:tcPr>
            <w:tcW w:w="1733" w:type="dxa"/>
            <w:vAlign w:val="center"/>
          </w:tcPr>
          <w:p w14:paraId="215F7B4F" w14:textId="3854C390" w:rsidR="0012385E" w:rsidRPr="00104202" w:rsidRDefault="0012385E" w:rsidP="0012385E">
            <w:pPr>
              <w:pStyle w:val="TableContent"/>
              <w:rPr>
                <w:sz w:val="20"/>
                <w:szCs w:val="20"/>
              </w:rPr>
            </w:pPr>
            <w:r w:rsidRPr="00104202">
              <w:rPr>
                <w:sz w:val="20"/>
                <w:szCs w:val="20"/>
              </w:rPr>
              <w:t>(1.</w:t>
            </w:r>
            <w:r w:rsidR="006C20BB">
              <w:rPr>
                <w:sz w:val="20"/>
                <w:szCs w:val="20"/>
              </w:rPr>
              <w:t>g</w:t>
            </w:r>
            <w:r w:rsidRPr="00104202">
              <w:rPr>
                <w:sz w:val="20"/>
                <w:szCs w:val="20"/>
              </w:rPr>
              <w:t>) Reuse</w:t>
            </w:r>
          </w:p>
        </w:tc>
        <w:tc>
          <w:tcPr>
            <w:tcW w:w="1620" w:type="dxa"/>
            <w:vAlign w:val="center"/>
          </w:tcPr>
          <w:p w14:paraId="670A5CC4" w14:textId="2DE4E314" w:rsidR="0012385E" w:rsidRPr="00104202" w:rsidRDefault="0012385E" w:rsidP="0012385E">
            <w:pPr>
              <w:pStyle w:val="TableContent"/>
              <w:rPr>
                <w:rFonts w:ascii="Calibri" w:hAnsi="Calibri" w:cs="Calibri"/>
                <w:color w:val="000000"/>
                <w:sz w:val="20"/>
                <w:szCs w:val="20"/>
              </w:rPr>
            </w:pPr>
            <w:r w:rsidRPr="00104202">
              <w:rPr>
                <w:rFonts w:ascii="Calibri" w:hAnsi="Calibri" w:cs="Calibri"/>
                <w:color w:val="000000"/>
                <w:sz w:val="20"/>
                <w:szCs w:val="20"/>
              </w:rPr>
              <w:t>Unsecured</w:t>
            </w:r>
          </w:p>
        </w:tc>
        <w:tc>
          <w:tcPr>
            <w:tcW w:w="5490" w:type="dxa"/>
            <w:vAlign w:val="center"/>
          </w:tcPr>
          <w:p w14:paraId="1395A798" w14:textId="40E84E4E" w:rsidR="0012385E" w:rsidRPr="00104202" w:rsidRDefault="0012385E" w:rsidP="0012385E">
            <w:pPr>
              <w:pStyle w:val="TableContent"/>
              <w:rPr>
                <w:rFonts w:ascii="Calibri" w:hAnsi="Calibri" w:cs="Calibri"/>
                <w:color w:val="000000"/>
                <w:sz w:val="20"/>
                <w:szCs w:val="20"/>
              </w:rPr>
            </w:pPr>
            <w:r w:rsidRPr="00104202">
              <w:rPr>
                <w:rFonts w:ascii="Calibri" w:hAnsi="Calibri" w:cs="Calibri"/>
                <w:color w:val="000000"/>
                <w:sz w:val="20"/>
                <w:szCs w:val="20"/>
              </w:rPr>
              <w:t>Potential collaboration for habitat restoration and educational programming.</w:t>
            </w:r>
          </w:p>
        </w:tc>
      </w:tr>
    </w:tbl>
    <w:p w14:paraId="0C6EA965" w14:textId="23A2CC2F" w:rsidR="008301CF" w:rsidRPr="001F3C8E" w:rsidRDefault="00F01534" w:rsidP="00F4056D">
      <w:pPr>
        <w:pStyle w:val="Heading3"/>
      </w:pPr>
      <w:r w:rsidRPr="001F3C8E">
        <w:lastRenderedPageBreak/>
        <w:t>1.</w:t>
      </w:r>
      <w:r w:rsidR="00750C17" w:rsidRPr="001F3C8E">
        <w:t>h</w:t>
      </w:r>
      <w:r w:rsidR="008301CF" w:rsidRPr="001F3C8E">
        <w:t>. Use of Existing Infrastructure</w:t>
      </w:r>
    </w:p>
    <w:p w14:paraId="1BF5755E" w14:textId="498D6A81" w:rsidR="008F721E" w:rsidRPr="001F3C8E" w:rsidRDefault="00AC5DF5" w:rsidP="008F721E">
      <w:pPr>
        <w:pStyle w:val="Bullet1"/>
        <w:numPr>
          <w:ilvl w:val="0"/>
          <w:numId w:val="0"/>
        </w:numPr>
        <w:rPr>
          <w:szCs w:val="24"/>
        </w:rPr>
      </w:pPr>
      <w:r w:rsidRPr="001F3C8E">
        <w:rPr>
          <w:szCs w:val="24"/>
        </w:rPr>
        <w:t xml:space="preserve">The </w:t>
      </w:r>
      <w:r w:rsidR="00806684" w:rsidRPr="001F3C8E">
        <w:rPr>
          <w:szCs w:val="24"/>
        </w:rPr>
        <w:t>Site</w:t>
      </w:r>
      <w:r w:rsidRPr="001F3C8E">
        <w:rPr>
          <w:szCs w:val="24"/>
        </w:rPr>
        <w:t xml:space="preserve"> is accessible via Columbia Road and does not require major infrastructure upgrades for cleanup implementation. Existing road access and proximity to municipal services will support efficient mobilization of contractors and equipment. No new water or sewer connections are required for cleanup activities; however, reuse planning will incorporate floodplain considerations (FEMA Zone A) and Pinelands CMP compliance to ensure long-term resilience.</w:t>
      </w:r>
    </w:p>
    <w:p w14:paraId="531E5049" w14:textId="2FF766AE" w:rsidR="001B7910" w:rsidRPr="001F3C8E" w:rsidRDefault="00234190" w:rsidP="00B05C90">
      <w:pPr>
        <w:pStyle w:val="Heading1"/>
      </w:pPr>
      <w:r w:rsidRPr="001F3C8E">
        <w:t>2. Community Need and Community Engagement</w:t>
      </w:r>
    </w:p>
    <w:p w14:paraId="39D05260" w14:textId="71F3CBB5" w:rsidR="00234190" w:rsidRPr="001F3C8E" w:rsidRDefault="000B1F24" w:rsidP="00F4056D">
      <w:pPr>
        <w:pStyle w:val="Heading2"/>
      </w:pPr>
      <w:r w:rsidRPr="001F3C8E">
        <w:t>Community Need</w:t>
      </w:r>
    </w:p>
    <w:p w14:paraId="62956FAB" w14:textId="5048DB6F" w:rsidR="000B1F24" w:rsidRPr="001F3C8E" w:rsidRDefault="00F01534" w:rsidP="00F4056D">
      <w:pPr>
        <w:pStyle w:val="Heading3"/>
      </w:pPr>
      <w:r w:rsidRPr="001F3C8E">
        <w:t>2.a</w:t>
      </w:r>
      <w:r w:rsidR="00015C08" w:rsidRPr="001F3C8E">
        <w:t>.</w:t>
      </w:r>
      <w:r w:rsidR="000B1F24" w:rsidRPr="001F3C8E">
        <w:t xml:space="preserve"> The Community’s Need for Funding</w:t>
      </w:r>
    </w:p>
    <w:p w14:paraId="761C7CF8" w14:textId="14265E2D" w:rsidR="0052019D" w:rsidRPr="001F3C8E" w:rsidRDefault="00793B55" w:rsidP="00793B55">
      <w:pPr>
        <w:spacing w:after="0"/>
        <w:rPr>
          <w:szCs w:val="24"/>
        </w:rPr>
      </w:pPr>
      <w:r w:rsidRPr="001F3C8E">
        <w:rPr>
          <w:b/>
          <w:bCs/>
          <w:szCs w:val="24"/>
        </w:rPr>
        <w:t>Mullica is a small, rural municipality with limited fiscal and staffing capacity and no ability to fund complex environmental remediation without federal support</w:t>
      </w:r>
      <w:r w:rsidR="00FD536B" w:rsidRPr="001F3C8E">
        <w:rPr>
          <w:b/>
          <w:bCs/>
          <w:szCs w:val="24"/>
        </w:rPr>
        <w:t xml:space="preserve"> making the cleanup funding essential</w:t>
      </w:r>
      <w:r w:rsidRPr="001F3C8E">
        <w:rPr>
          <w:b/>
          <w:bCs/>
          <w:szCs w:val="24"/>
        </w:rPr>
        <w:t xml:space="preserve">. </w:t>
      </w:r>
      <w:r w:rsidR="00DE7C48" w:rsidRPr="001F3C8E">
        <w:rPr>
          <w:szCs w:val="24"/>
        </w:rPr>
        <w:t>Mullica</w:t>
      </w:r>
      <w:r w:rsidRPr="001F3C8E">
        <w:rPr>
          <w:szCs w:val="24"/>
        </w:rPr>
        <w:t xml:space="preserve"> has approximately 5,815 residents spread across more than 56 square miles, resulting in low population density and a small tax base that restricts local revenue generation.</w:t>
      </w:r>
      <w:r w:rsidR="007E3748" w:rsidRPr="001F3C8E">
        <w:rPr>
          <w:szCs w:val="24"/>
        </w:rPr>
        <w:t xml:space="preserve"> </w:t>
      </w:r>
      <w:r w:rsidR="0003588A" w:rsidRPr="001F3C8E">
        <w:rPr>
          <w:szCs w:val="24"/>
        </w:rPr>
        <w:t>The</w:t>
      </w:r>
      <w:r w:rsidR="00D7188F" w:rsidRPr="001F3C8E">
        <w:rPr>
          <w:szCs w:val="24"/>
        </w:rPr>
        <w:t xml:space="preserve"> population has experienced a 5.7% decrease from 2013-2023</w:t>
      </w:r>
      <w:r w:rsidR="0087794D" w:rsidRPr="001F3C8E">
        <w:rPr>
          <w:szCs w:val="24"/>
        </w:rPr>
        <w:t>,</w:t>
      </w:r>
      <w:r w:rsidR="004F61A8" w:rsidRPr="001F3C8E">
        <w:rPr>
          <w:szCs w:val="24"/>
        </w:rPr>
        <w:t xml:space="preserve"> where the current median household age is </w:t>
      </w:r>
      <w:r w:rsidR="005C31E1" w:rsidRPr="001F3C8E">
        <w:rPr>
          <w:szCs w:val="24"/>
        </w:rPr>
        <w:t xml:space="preserve">currently </w:t>
      </w:r>
      <w:r w:rsidR="00D7018A" w:rsidRPr="001F3C8E">
        <w:rPr>
          <w:szCs w:val="24"/>
        </w:rPr>
        <w:t>17</w:t>
      </w:r>
      <w:r w:rsidR="005C31E1" w:rsidRPr="001F3C8E">
        <w:rPr>
          <w:szCs w:val="24"/>
        </w:rPr>
        <w:t>.7% higher when compared to the country</w:t>
      </w:r>
      <w:r w:rsidR="00B33863" w:rsidRPr="001F3C8E">
        <w:rPr>
          <w:rStyle w:val="FootnoteReference"/>
          <w:sz w:val="24"/>
          <w:szCs w:val="24"/>
        </w:rPr>
        <w:footnoteReference w:id="12"/>
      </w:r>
      <w:r w:rsidR="005C31E1" w:rsidRPr="001F3C8E">
        <w:rPr>
          <w:szCs w:val="24"/>
        </w:rPr>
        <w:t>. These population trends highlight a significant risk of economic stagnation that</w:t>
      </w:r>
      <w:r w:rsidR="000C4B57" w:rsidRPr="001F3C8E">
        <w:rPr>
          <w:szCs w:val="24"/>
        </w:rPr>
        <w:t>,</w:t>
      </w:r>
      <w:r w:rsidR="005C31E1" w:rsidRPr="001F3C8E">
        <w:rPr>
          <w:szCs w:val="24"/>
        </w:rPr>
        <w:t xml:space="preserve"> without an influx of </w:t>
      </w:r>
      <w:r w:rsidR="00777793" w:rsidRPr="001F3C8E">
        <w:rPr>
          <w:szCs w:val="24"/>
        </w:rPr>
        <w:t>resources and redevelopment support</w:t>
      </w:r>
      <w:r w:rsidR="000C4B57" w:rsidRPr="001F3C8E">
        <w:rPr>
          <w:szCs w:val="24"/>
        </w:rPr>
        <w:t>,</w:t>
      </w:r>
      <w:r w:rsidR="00777793" w:rsidRPr="001F3C8E">
        <w:rPr>
          <w:szCs w:val="24"/>
        </w:rPr>
        <w:t xml:space="preserve"> could result in further economic decline.</w:t>
      </w:r>
      <w:r w:rsidR="001A2D2F" w:rsidRPr="001F3C8E">
        <w:rPr>
          <w:szCs w:val="24"/>
        </w:rPr>
        <w:t xml:space="preserve"> </w:t>
      </w:r>
      <w:r w:rsidR="000B653B" w:rsidRPr="001F3C8E">
        <w:rPr>
          <w:b/>
          <w:bCs/>
          <w:szCs w:val="24"/>
        </w:rPr>
        <w:t>Mullica</w:t>
      </w:r>
      <w:r w:rsidRPr="001F3C8E">
        <w:rPr>
          <w:b/>
          <w:bCs/>
          <w:szCs w:val="24"/>
        </w:rPr>
        <w:t xml:space="preserve">’s </w:t>
      </w:r>
      <w:r w:rsidR="000B653B" w:rsidRPr="001F3C8E">
        <w:rPr>
          <w:b/>
          <w:bCs/>
          <w:szCs w:val="24"/>
        </w:rPr>
        <w:t>fiscal year (</w:t>
      </w:r>
      <w:r w:rsidRPr="001F3C8E">
        <w:rPr>
          <w:b/>
          <w:bCs/>
          <w:szCs w:val="24"/>
        </w:rPr>
        <w:t>FY</w:t>
      </w:r>
      <w:r w:rsidR="000B653B" w:rsidRPr="001F3C8E">
        <w:rPr>
          <w:b/>
          <w:bCs/>
          <w:szCs w:val="24"/>
        </w:rPr>
        <w:t>)</w:t>
      </w:r>
      <w:r w:rsidRPr="001F3C8E">
        <w:rPr>
          <w:b/>
          <w:bCs/>
          <w:szCs w:val="24"/>
        </w:rPr>
        <w:t xml:space="preserve"> 2025 municipal operating budget totaled</w:t>
      </w:r>
      <w:r w:rsidR="002E6804" w:rsidRPr="001F3C8E">
        <w:rPr>
          <w:b/>
          <w:bCs/>
          <w:szCs w:val="24"/>
        </w:rPr>
        <w:t xml:space="preserve"> only</w:t>
      </w:r>
      <w:r w:rsidRPr="001F3C8E">
        <w:rPr>
          <w:b/>
          <w:bCs/>
          <w:szCs w:val="24"/>
        </w:rPr>
        <w:t xml:space="preserve"> $7.9 million</w:t>
      </w:r>
      <w:r w:rsidR="00A003B0" w:rsidRPr="001F3C8E">
        <w:rPr>
          <w:rStyle w:val="FootnoteReference"/>
          <w:b/>
          <w:bCs/>
          <w:sz w:val="24"/>
          <w:szCs w:val="24"/>
        </w:rPr>
        <w:footnoteReference w:id="13"/>
      </w:r>
      <w:r w:rsidRPr="001F3C8E">
        <w:rPr>
          <w:b/>
          <w:bCs/>
          <w:szCs w:val="24"/>
        </w:rPr>
        <w:t>.</w:t>
      </w:r>
      <w:r w:rsidR="00C52CA4" w:rsidRPr="001F3C8E">
        <w:rPr>
          <w:b/>
          <w:bCs/>
          <w:szCs w:val="24"/>
        </w:rPr>
        <w:t xml:space="preserve"> </w:t>
      </w:r>
      <w:r w:rsidR="002E6804" w:rsidRPr="001F3C8E">
        <w:rPr>
          <w:szCs w:val="24"/>
        </w:rPr>
        <w:t>In addition to</w:t>
      </w:r>
      <w:r w:rsidR="001B78AB" w:rsidRPr="001F3C8E">
        <w:rPr>
          <w:szCs w:val="24"/>
        </w:rPr>
        <w:t xml:space="preserve"> a</w:t>
      </w:r>
      <w:r w:rsidR="002E6804" w:rsidRPr="001F3C8E">
        <w:rPr>
          <w:szCs w:val="24"/>
        </w:rPr>
        <w:t xml:space="preserve"> low</w:t>
      </w:r>
      <w:r w:rsidR="001B78AB" w:rsidRPr="001F3C8E">
        <w:rPr>
          <w:szCs w:val="24"/>
        </w:rPr>
        <w:t xml:space="preserve"> municipal operating budget, r</w:t>
      </w:r>
      <w:r w:rsidRPr="001F3C8E">
        <w:rPr>
          <w:szCs w:val="24"/>
        </w:rPr>
        <w:t>ising expenses are creating significant financial strain</w:t>
      </w:r>
      <w:r w:rsidR="002E6804" w:rsidRPr="001F3C8E">
        <w:rPr>
          <w:szCs w:val="24"/>
        </w:rPr>
        <w:t xml:space="preserve">, including healthcare </w:t>
      </w:r>
      <w:r w:rsidRPr="001F3C8E">
        <w:rPr>
          <w:szCs w:val="24"/>
        </w:rPr>
        <w:t xml:space="preserve">benefit costs </w:t>
      </w:r>
      <w:r w:rsidR="00A21DBA" w:rsidRPr="001F3C8E">
        <w:rPr>
          <w:szCs w:val="24"/>
        </w:rPr>
        <w:t xml:space="preserve">that </w:t>
      </w:r>
      <w:r w:rsidRPr="001F3C8E">
        <w:rPr>
          <w:szCs w:val="24"/>
        </w:rPr>
        <w:t xml:space="preserve">increased 23.1% for active employees and 20% for retirees, producing a $354,000 increase in public employee healthcare expenditures from </w:t>
      </w:r>
      <w:r w:rsidR="00D90F76" w:rsidRPr="001F3C8E">
        <w:rPr>
          <w:szCs w:val="24"/>
        </w:rPr>
        <w:t>2</w:t>
      </w:r>
      <w:r w:rsidRPr="001F3C8E">
        <w:rPr>
          <w:szCs w:val="24"/>
        </w:rPr>
        <w:t>025 to 2026. In addition, the Atlantic County Board of Taxation has mandated a municipal-wide property tax revaluation estimated at $350,000</w:t>
      </w:r>
      <w:r w:rsidR="00B14AF6" w:rsidRPr="001F3C8E">
        <w:rPr>
          <w:rStyle w:val="FootnoteReference"/>
          <w:sz w:val="24"/>
          <w:szCs w:val="24"/>
        </w:rPr>
        <w:footnoteReference w:id="14"/>
      </w:r>
      <w:r w:rsidRPr="001F3C8E">
        <w:rPr>
          <w:szCs w:val="24"/>
        </w:rPr>
        <w:t xml:space="preserve">. </w:t>
      </w:r>
    </w:p>
    <w:p w14:paraId="27C3BD5E" w14:textId="1ED8543C" w:rsidR="00793B55" w:rsidRPr="001F3C8E" w:rsidRDefault="00793B55" w:rsidP="00793B55">
      <w:pPr>
        <w:spacing w:after="0"/>
        <w:rPr>
          <w:szCs w:val="24"/>
        </w:rPr>
      </w:pPr>
      <w:r w:rsidRPr="001F3C8E">
        <w:rPr>
          <w:b/>
          <w:bCs/>
          <w:szCs w:val="24"/>
        </w:rPr>
        <w:t>The projected cost of the Perona Scrapyard cleanup would represent</w:t>
      </w:r>
      <w:r w:rsidR="001D6613" w:rsidRPr="001F3C8E">
        <w:rPr>
          <w:b/>
          <w:bCs/>
          <w:szCs w:val="24"/>
        </w:rPr>
        <w:t xml:space="preserve"> nearly 50%</w:t>
      </w:r>
      <w:r w:rsidRPr="001F3C8E">
        <w:rPr>
          <w:b/>
          <w:bCs/>
          <w:szCs w:val="24"/>
        </w:rPr>
        <w:t xml:space="preserve"> of all available municipal funding</w:t>
      </w:r>
      <w:r w:rsidR="00D87718" w:rsidRPr="001F3C8E">
        <w:rPr>
          <w:b/>
          <w:bCs/>
          <w:szCs w:val="24"/>
        </w:rPr>
        <w:t xml:space="preserve"> (</w:t>
      </w:r>
      <w:r w:rsidR="00904081" w:rsidRPr="001F3C8E">
        <w:rPr>
          <w:b/>
          <w:bCs/>
          <w:szCs w:val="24"/>
        </w:rPr>
        <w:t>s</w:t>
      </w:r>
      <w:r w:rsidR="00D87718" w:rsidRPr="001F3C8E">
        <w:rPr>
          <w:b/>
          <w:bCs/>
          <w:szCs w:val="24"/>
        </w:rPr>
        <w:t xml:space="preserve">ee </w:t>
      </w:r>
      <w:r w:rsidR="00904081" w:rsidRPr="001F3C8E">
        <w:rPr>
          <w:b/>
          <w:bCs/>
          <w:szCs w:val="24"/>
        </w:rPr>
        <w:t>3.f.)</w:t>
      </w:r>
      <w:r w:rsidRPr="001F3C8E">
        <w:rPr>
          <w:b/>
          <w:bCs/>
          <w:szCs w:val="24"/>
        </w:rPr>
        <w:t>.</w:t>
      </w:r>
      <w:r w:rsidR="008F0014" w:rsidRPr="001F3C8E">
        <w:rPr>
          <w:b/>
          <w:bCs/>
          <w:szCs w:val="24"/>
        </w:rPr>
        <w:t xml:space="preserve"> </w:t>
      </w:r>
      <w:r w:rsidR="00A21DBA" w:rsidRPr="001F3C8E">
        <w:rPr>
          <w:szCs w:val="24"/>
        </w:rPr>
        <w:t>Mullica</w:t>
      </w:r>
      <w:r w:rsidRPr="001F3C8E">
        <w:rPr>
          <w:szCs w:val="24"/>
        </w:rPr>
        <w:t xml:space="preserve"> employs only 25 non–law enforcement staff, all of whom are operating beyond capacity. No funding is available to hire personnel needed to support grant administration, future </w:t>
      </w:r>
      <w:r w:rsidR="00205333" w:rsidRPr="001F3C8E">
        <w:rPr>
          <w:szCs w:val="24"/>
        </w:rPr>
        <w:t>B</w:t>
      </w:r>
      <w:r w:rsidRPr="001F3C8E">
        <w:rPr>
          <w:szCs w:val="24"/>
        </w:rPr>
        <w:t>rownfield redevelopment, or any cleanup-related activities.</w:t>
      </w:r>
    </w:p>
    <w:p w14:paraId="6A8B9182" w14:textId="637BD35C" w:rsidR="009B0201" w:rsidRPr="001F3C8E" w:rsidRDefault="009B0201" w:rsidP="00B05C90">
      <w:pPr>
        <w:pStyle w:val="TableTitle"/>
      </w:pPr>
      <w:r w:rsidRPr="001F3C8E">
        <w:t xml:space="preserve">Table </w:t>
      </w:r>
      <w:r w:rsidR="00615BBE">
        <w:t>2.</w:t>
      </w:r>
      <w:r w:rsidRPr="001F3C8E">
        <w:t xml:space="preserve"> Economic and Population Data </w:t>
      </w:r>
    </w:p>
    <w:tbl>
      <w:tblPr>
        <w:tblStyle w:val="TableGridLight"/>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1354"/>
        <w:gridCol w:w="1354"/>
        <w:gridCol w:w="1354"/>
        <w:gridCol w:w="1354"/>
      </w:tblGrid>
      <w:tr w:rsidR="00580F6D" w:rsidRPr="008F1FBA" w14:paraId="08C2DD27" w14:textId="77777777" w:rsidTr="001F3C8E">
        <w:trPr>
          <w:trHeight w:val="314"/>
          <w:tblHeader/>
          <w:jc w:val="center"/>
        </w:trPr>
        <w:tc>
          <w:tcPr>
            <w:tcW w:w="4075" w:type="dxa"/>
            <w:shd w:val="clear" w:color="auto" w:fill="DFDCDA" w:themeFill="text1" w:themeFillTint="33"/>
            <w:vAlign w:val="center"/>
            <w:hideMark/>
          </w:tcPr>
          <w:p w14:paraId="075A297B" w14:textId="77777777" w:rsidR="00580F6D" w:rsidRPr="00104202" w:rsidRDefault="00580F6D" w:rsidP="00EF506A">
            <w:pPr>
              <w:pStyle w:val="TableColumnHeading"/>
              <w:rPr>
                <w:sz w:val="20"/>
                <w:szCs w:val="20"/>
              </w:rPr>
            </w:pPr>
            <w:r w:rsidRPr="00104202">
              <w:rPr>
                <w:sz w:val="20"/>
                <w:szCs w:val="20"/>
              </w:rPr>
              <w:t>Indicator</w:t>
            </w:r>
          </w:p>
        </w:tc>
        <w:tc>
          <w:tcPr>
            <w:tcW w:w="1354" w:type="dxa"/>
            <w:shd w:val="clear" w:color="auto" w:fill="DFDCDA" w:themeFill="text1" w:themeFillTint="33"/>
            <w:vAlign w:val="center"/>
            <w:hideMark/>
          </w:tcPr>
          <w:p w14:paraId="28F613D3" w14:textId="77777777" w:rsidR="00580F6D" w:rsidRPr="00104202" w:rsidRDefault="00580F6D" w:rsidP="00EF506A">
            <w:pPr>
              <w:pStyle w:val="TableColumnHeading"/>
              <w:rPr>
                <w:sz w:val="20"/>
                <w:szCs w:val="20"/>
              </w:rPr>
            </w:pPr>
            <w:r w:rsidRPr="00104202">
              <w:rPr>
                <w:sz w:val="20"/>
                <w:szCs w:val="20"/>
              </w:rPr>
              <w:t>United States</w:t>
            </w:r>
          </w:p>
        </w:tc>
        <w:tc>
          <w:tcPr>
            <w:tcW w:w="1354" w:type="dxa"/>
            <w:shd w:val="clear" w:color="auto" w:fill="DFDCDA" w:themeFill="text1" w:themeFillTint="33"/>
            <w:vAlign w:val="center"/>
            <w:hideMark/>
          </w:tcPr>
          <w:p w14:paraId="03634BB7" w14:textId="48D895BF" w:rsidR="00580F6D" w:rsidRPr="00104202" w:rsidRDefault="00580F6D" w:rsidP="00EF506A">
            <w:pPr>
              <w:pStyle w:val="TableColumnHeading"/>
              <w:rPr>
                <w:sz w:val="20"/>
                <w:szCs w:val="20"/>
              </w:rPr>
            </w:pPr>
            <w:r w:rsidRPr="00104202">
              <w:rPr>
                <w:sz w:val="20"/>
                <w:szCs w:val="20"/>
              </w:rPr>
              <w:t>New Jersey</w:t>
            </w:r>
          </w:p>
        </w:tc>
        <w:tc>
          <w:tcPr>
            <w:tcW w:w="1354" w:type="dxa"/>
            <w:shd w:val="clear" w:color="auto" w:fill="DFDCDA" w:themeFill="text1" w:themeFillTint="33"/>
            <w:vAlign w:val="center"/>
            <w:hideMark/>
          </w:tcPr>
          <w:p w14:paraId="135C5897" w14:textId="206853DB" w:rsidR="00580F6D" w:rsidRPr="00104202" w:rsidRDefault="00580F6D" w:rsidP="00EF506A">
            <w:pPr>
              <w:pStyle w:val="TableColumnHeading"/>
              <w:rPr>
                <w:sz w:val="20"/>
                <w:szCs w:val="20"/>
              </w:rPr>
            </w:pPr>
            <w:r w:rsidRPr="00104202">
              <w:rPr>
                <w:sz w:val="20"/>
                <w:szCs w:val="20"/>
              </w:rPr>
              <w:t>County</w:t>
            </w:r>
          </w:p>
        </w:tc>
        <w:tc>
          <w:tcPr>
            <w:tcW w:w="1354" w:type="dxa"/>
            <w:shd w:val="clear" w:color="auto" w:fill="DFDCDA" w:themeFill="text1" w:themeFillTint="33"/>
            <w:vAlign w:val="center"/>
            <w:hideMark/>
          </w:tcPr>
          <w:p w14:paraId="3FDFD388" w14:textId="5D65AD75" w:rsidR="00580F6D" w:rsidRPr="00104202" w:rsidRDefault="00580F6D" w:rsidP="00EF506A">
            <w:pPr>
              <w:pStyle w:val="TableColumnHeading"/>
              <w:rPr>
                <w:sz w:val="20"/>
                <w:szCs w:val="20"/>
              </w:rPr>
            </w:pPr>
            <w:r w:rsidRPr="00104202">
              <w:rPr>
                <w:sz w:val="20"/>
                <w:szCs w:val="20"/>
              </w:rPr>
              <w:t xml:space="preserve">Mullica </w:t>
            </w:r>
          </w:p>
        </w:tc>
      </w:tr>
      <w:tr w:rsidR="00580F6D" w:rsidRPr="008F1FBA" w14:paraId="7C143ECD" w14:textId="77777777" w:rsidTr="003E6944">
        <w:trPr>
          <w:trHeight w:val="70"/>
          <w:jc w:val="center"/>
        </w:trPr>
        <w:tc>
          <w:tcPr>
            <w:tcW w:w="4075" w:type="dxa"/>
            <w:hideMark/>
          </w:tcPr>
          <w:p w14:paraId="36AAE55B" w14:textId="4C2B9494" w:rsidR="00580F6D" w:rsidRPr="00104202" w:rsidRDefault="00580F6D" w:rsidP="0080520E">
            <w:pPr>
              <w:pStyle w:val="TableContent"/>
              <w:rPr>
                <w:rFonts w:cstheme="minorHAnsi"/>
                <w:sz w:val="20"/>
                <w:szCs w:val="20"/>
              </w:rPr>
            </w:pPr>
            <w:r w:rsidRPr="00104202">
              <w:rPr>
                <w:rFonts w:cstheme="minorHAnsi"/>
                <w:sz w:val="20"/>
                <w:szCs w:val="20"/>
              </w:rPr>
              <w:t xml:space="preserve">2013 Population </w:t>
            </w:r>
          </w:p>
        </w:tc>
        <w:tc>
          <w:tcPr>
            <w:tcW w:w="1354" w:type="dxa"/>
            <w:vAlign w:val="center"/>
            <w:hideMark/>
          </w:tcPr>
          <w:p w14:paraId="552D92C6" w14:textId="37C6AF66" w:rsidR="00580F6D" w:rsidRPr="00104202" w:rsidRDefault="00580F6D" w:rsidP="0080520E">
            <w:pPr>
              <w:pStyle w:val="TableContent"/>
              <w:rPr>
                <w:rFonts w:cstheme="minorHAnsi"/>
                <w:sz w:val="20"/>
                <w:szCs w:val="20"/>
              </w:rPr>
            </w:pPr>
            <w:r w:rsidRPr="00104202">
              <w:rPr>
                <w:rFonts w:cstheme="minorHAnsi"/>
                <w:sz w:val="20"/>
                <w:szCs w:val="20"/>
              </w:rPr>
              <w:t>311,536,594</w:t>
            </w:r>
          </w:p>
        </w:tc>
        <w:tc>
          <w:tcPr>
            <w:tcW w:w="1354" w:type="dxa"/>
            <w:vAlign w:val="center"/>
            <w:hideMark/>
          </w:tcPr>
          <w:p w14:paraId="5064910B" w14:textId="02203048" w:rsidR="00580F6D" w:rsidRPr="00104202" w:rsidRDefault="00580F6D" w:rsidP="0080520E">
            <w:pPr>
              <w:pStyle w:val="TableContent"/>
              <w:rPr>
                <w:rFonts w:cstheme="minorHAnsi"/>
                <w:sz w:val="20"/>
                <w:szCs w:val="20"/>
              </w:rPr>
            </w:pPr>
            <w:r w:rsidRPr="00104202">
              <w:rPr>
                <w:rFonts w:cstheme="minorHAnsi"/>
                <w:sz w:val="20"/>
                <w:szCs w:val="20"/>
              </w:rPr>
              <w:t>8,832,406</w:t>
            </w:r>
          </w:p>
        </w:tc>
        <w:tc>
          <w:tcPr>
            <w:tcW w:w="1354" w:type="dxa"/>
            <w:vAlign w:val="center"/>
            <w:hideMark/>
          </w:tcPr>
          <w:p w14:paraId="3D1D280A" w14:textId="20ED84D8" w:rsidR="00580F6D" w:rsidRPr="00104202" w:rsidRDefault="001955B6" w:rsidP="0080520E">
            <w:pPr>
              <w:pStyle w:val="TableContent"/>
              <w:rPr>
                <w:rFonts w:cstheme="minorHAnsi"/>
                <w:sz w:val="20"/>
                <w:szCs w:val="20"/>
              </w:rPr>
            </w:pPr>
            <w:r w:rsidRPr="00104202">
              <w:rPr>
                <w:rFonts w:cstheme="minorHAnsi"/>
                <w:sz w:val="20"/>
                <w:szCs w:val="20"/>
              </w:rPr>
              <w:t>274,960</w:t>
            </w:r>
          </w:p>
        </w:tc>
        <w:tc>
          <w:tcPr>
            <w:tcW w:w="1354" w:type="dxa"/>
            <w:vAlign w:val="center"/>
            <w:hideMark/>
          </w:tcPr>
          <w:p w14:paraId="6BE645E4" w14:textId="530E0618" w:rsidR="00580F6D" w:rsidRPr="00104202" w:rsidRDefault="001955B6" w:rsidP="0080520E">
            <w:pPr>
              <w:pStyle w:val="TableContent"/>
              <w:rPr>
                <w:rFonts w:cstheme="minorHAnsi"/>
                <w:sz w:val="20"/>
                <w:szCs w:val="20"/>
              </w:rPr>
            </w:pPr>
            <w:r w:rsidRPr="00104202">
              <w:rPr>
                <w:rFonts w:cstheme="minorHAnsi"/>
                <w:sz w:val="20"/>
                <w:szCs w:val="20"/>
              </w:rPr>
              <w:t>6,164</w:t>
            </w:r>
          </w:p>
        </w:tc>
      </w:tr>
      <w:tr w:rsidR="00580F6D" w:rsidRPr="008F1FBA" w14:paraId="33C9D320" w14:textId="77777777" w:rsidTr="003E6944">
        <w:trPr>
          <w:trHeight w:val="50"/>
          <w:jc w:val="center"/>
        </w:trPr>
        <w:tc>
          <w:tcPr>
            <w:tcW w:w="4075" w:type="dxa"/>
          </w:tcPr>
          <w:p w14:paraId="2FBA2BCB" w14:textId="12A3A7E3" w:rsidR="00580F6D" w:rsidRPr="00104202" w:rsidRDefault="00580F6D" w:rsidP="0080520E">
            <w:pPr>
              <w:pStyle w:val="TableContent"/>
              <w:rPr>
                <w:rFonts w:cstheme="minorHAnsi"/>
                <w:sz w:val="20"/>
                <w:szCs w:val="20"/>
              </w:rPr>
            </w:pPr>
            <w:r w:rsidRPr="00104202">
              <w:rPr>
                <w:rFonts w:cstheme="minorHAnsi"/>
                <w:sz w:val="20"/>
                <w:szCs w:val="20"/>
              </w:rPr>
              <w:t>2023 Population</w:t>
            </w:r>
          </w:p>
        </w:tc>
        <w:tc>
          <w:tcPr>
            <w:tcW w:w="1354" w:type="dxa"/>
            <w:vAlign w:val="center"/>
          </w:tcPr>
          <w:p w14:paraId="142EE530" w14:textId="5C43BC1D" w:rsidR="00580F6D" w:rsidRPr="00104202" w:rsidRDefault="00580F6D" w:rsidP="0080520E">
            <w:pPr>
              <w:pStyle w:val="TableContent"/>
              <w:rPr>
                <w:rFonts w:cstheme="minorHAnsi"/>
                <w:sz w:val="20"/>
                <w:szCs w:val="20"/>
              </w:rPr>
            </w:pPr>
            <w:r w:rsidRPr="00104202">
              <w:rPr>
                <w:rFonts w:cstheme="minorHAnsi"/>
                <w:sz w:val="20"/>
                <w:szCs w:val="20"/>
              </w:rPr>
              <w:t>332,387,540</w:t>
            </w:r>
          </w:p>
        </w:tc>
        <w:tc>
          <w:tcPr>
            <w:tcW w:w="1354" w:type="dxa"/>
            <w:vAlign w:val="center"/>
          </w:tcPr>
          <w:p w14:paraId="661B1F21" w14:textId="27E8FD25" w:rsidR="00580F6D" w:rsidRPr="00104202" w:rsidRDefault="00580F6D" w:rsidP="0080520E">
            <w:pPr>
              <w:pStyle w:val="TableContent"/>
              <w:rPr>
                <w:rFonts w:cstheme="minorHAnsi"/>
                <w:sz w:val="20"/>
                <w:szCs w:val="20"/>
              </w:rPr>
            </w:pPr>
            <w:r w:rsidRPr="00104202">
              <w:rPr>
                <w:rFonts w:cstheme="minorHAnsi"/>
                <w:sz w:val="20"/>
                <w:szCs w:val="20"/>
              </w:rPr>
              <w:t>9,267,014</w:t>
            </w:r>
          </w:p>
        </w:tc>
        <w:tc>
          <w:tcPr>
            <w:tcW w:w="1354" w:type="dxa"/>
            <w:vAlign w:val="center"/>
          </w:tcPr>
          <w:p w14:paraId="398613C6" w14:textId="5C0CA653" w:rsidR="00580F6D" w:rsidRPr="00104202" w:rsidRDefault="00580F6D" w:rsidP="0080520E">
            <w:pPr>
              <w:pStyle w:val="TableContent"/>
              <w:rPr>
                <w:rFonts w:cstheme="minorHAnsi"/>
                <w:sz w:val="20"/>
                <w:szCs w:val="20"/>
              </w:rPr>
            </w:pPr>
            <w:bookmarkStart w:id="3" w:name="_Hlk220252533"/>
            <w:r w:rsidRPr="00104202">
              <w:rPr>
                <w:rFonts w:cstheme="minorHAnsi"/>
                <w:sz w:val="20"/>
                <w:szCs w:val="20"/>
              </w:rPr>
              <w:t>274</w:t>
            </w:r>
            <w:r w:rsidR="001955B6" w:rsidRPr="00104202">
              <w:rPr>
                <w:rFonts w:cstheme="minorHAnsi"/>
                <w:sz w:val="20"/>
                <w:szCs w:val="20"/>
              </w:rPr>
              <w:t>,</w:t>
            </w:r>
            <w:r w:rsidRPr="00104202">
              <w:rPr>
                <w:rFonts w:cstheme="minorHAnsi"/>
                <w:sz w:val="20"/>
                <w:szCs w:val="20"/>
              </w:rPr>
              <w:t>704</w:t>
            </w:r>
            <w:bookmarkEnd w:id="3"/>
          </w:p>
        </w:tc>
        <w:tc>
          <w:tcPr>
            <w:tcW w:w="1354" w:type="dxa"/>
            <w:vAlign w:val="center"/>
          </w:tcPr>
          <w:p w14:paraId="1B5C021D" w14:textId="6C55B5A9" w:rsidR="00580F6D" w:rsidRPr="00104202" w:rsidRDefault="00580F6D" w:rsidP="0080520E">
            <w:pPr>
              <w:pStyle w:val="TableContent"/>
              <w:rPr>
                <w:rFonts w:cstheme="minorHAnsi"/>
                <w:sz w:val="20"/>
                <w:szCs w:val="20"/>
              </w:rPr>
            </w:pPr>
            <w:r w:rsidRPr="00104202">
              <w:rPr>
                <w:rFonts w:cstheme="minorHAnsi"/>
                <w:sz w:val="20"/>
                <w:szCs w:val="20"/>
              </w:rPr>
              <w:t>5</w:t>
            </w:r>
            <w:r w:rsidR="001955B6" w:rsidRPr="00104202">
              <w:rPr>
                <w:rFonts w:cstheme="minorHAnsi"/>
                <w:sz w:val="20"/>
                <w:szCs w:val="20"/>
              </w:rPr>
              <w:t>,</w:t>
            </w:r>
            <w:r w:rsidRPr="00104202">
              <w:rPr>
                <w:rFonts w:cstheme="minorHAnsi"/>
                <w:sz w:val="20"/>
                <w:szCs w:val="20"/>
              </w:rPr>
              <w:t>815</w:t>
            </w:r>
          </w:p>
        </w:tc>
      </w:tr>
      <w:tr w:rsidR="00580F6D" w:rsidRPr="008F1FBA" w14:paraId="29CF8E32" w14:textId="77777777" w:rsidTr="003E6944">
        <w:trPr>
          <w:trHeight w:val="143"/>
          <w:jc w:val="center"/>
        </w:trPr>
        <w:tc>
          <w:tcPr>
            <w:tcW w:w="4075" w:type="dxa"/>
            <w:hideMark/>
          </w:tcPr>
          <w:p w14:paraId="60B53C21" w14:textId="6BAB93B7" w:rsidR="00580F6D" w:rsidRPr="00104202" w:rsidRDefault="00580F6D" w:rsidP="0080520E">
            <w:pPr>
              <w:pStyle w:val="TableContent"/>
              <w:rPr>
                <w:rFonts w:cstheme="minorHAnsi"/>
                <w:sz w:val="20"/>
                <w:szCs w:val="20"/>
              </w:rPr>
            </w:pPr>
            <w:r w:rsidRPr="00104202">
              <w:rPr>
                <w:rFonts w:cstheme="minorHAnsi"/>
                <w:sz w:val="20"/>
                <w:szCs w:val="20"/>
              </w:rPr>
              <w:t>Percent Change in Population (2013 to 2023)</w:t>
            </w:r>
          </w:p>
        </w:tc>
        <w:tc>
          <w:tcPr>
            <w:tcW w:w="1354" w:type="dxa"/>
            <w:noWrap/>
            <w:vAlign w:val="center"/>
            <w:hideMark/>
          </w:tcPr>
          <w:p w14:paraId="23D09F19" w14:textId="2D947921" w:rsidR="00580F6D" w:rsidRPr="00104202" w:rsidRDefault="00580F6D" w:rsidP="0080520E">
            <w:pPr>
              <w:pStyle w:val="TableContent"/>
              <w:rPr>
                <w:rFonts w:cstheme="minorHAnsi"/>
                <w:sz w:val="20"/>
                <w:szCs w:val="20"/>
              </w:rPr>
            </w:pPr>
            <w:r w:rsidRPr="00104202">
              <w:rPr>
                <w:rFonts w:cstheme="minorHAnsi"/>
                <w:sz w:val="20"/>
                <w:szCs w:val="20"/>
              </w:rPr>
              <w:t>6.7%</w:t>
            </w:r>
          </w:p>
        </w:tc>
        <w:tc>
          <w:tcPr>
            <w:tcW w:w="1354" w:type="dxa"/>
            <w:noWrap/>
            <w:vAlign w:val="center"/>
            <w:hideMark/>
          </w:tcPr>
          <w:p w14:paraId="15744525" w14:textId="304436C2" w:rsidR="00580F6D" w:rsidRPr="00104202" w:rsidRDefault="00580F6D" w:rsidP="0080520E">
            <w:pPr>
              <w:pStyle w:val="TableContent"/>
              <w:rPr>
                <w:rFonts w:cstheme="minorHAnsi"/>
                <w:sz w:val="20"/>
                <w:szCs w:val="20"/>
              </w:rPr>
            </w:pPr>
            <w:r w:rsidRPr="00104202">
              <w:rPr>
                <w:rFonts w:cstheme="minorHAnsi"/>
                <w:sz w:val="20"/>
                <w:szCs w:val="20"/>
              </w:rPr>
              <w:t>4.9%</w:t>
            </w:r>
          </w:p>
        </w:tc>
        <w:tc>
          <w:tcPr>
            <w:tcW w:w="1354" w:type="dxa"/>
            <w:shd w:val="clear" w:color="auto" w:fill="F2F2F2" w:themeFill="background1" w:themeFillShade="F2"/>
            <w:noWrap/>
            <w:vAlign w:val="center"/>
            <w:hideMark/>
          </w:tcPr>
          <w:p w14:paraId="288D65B9" w14:textId="7893C8D5" w:rsidR="00580F6D" w:rsidRPr="00104202" w:rsidRDefault="00680E14" w:rsidP="0080520E">
            <w:pPr>
              <w:pStyle w:val="TableContent"/>
              <w:rPr>
                <w:rFonts w:cstheme="minorHAnsi"/>
                <w:sz w:val="20"/>
                <w:szCs w:val="20"/>
              </w:rPr>
            </w:pPr>
            <w:r w:rsidRPr="00104202">
              <w:rPr>
                <w:rFonts w:cstheme="minorHAnsi"/>
                <w:sz w:val="20"/>
                <w:szCs w:val="20"/>
              </w:rPr>
              <w:t>-.1%</w:t>
            </w:r>
          </w:p>
        </w:tc>
        <w:tc>
          <w:tcPr>
            <w:tcW w:w="1354" w:type="dxa"/>
            <w:shd w:val="clear" w:color="auto" w:fill="F2F2F2" w:themeFill="background1" w:themeFillShade="F2"/>
            <w:noWrap/>
            <w:vAlign w:val="center"/>
            <w:hideMark/>
          </w:tcPr>
          <w:p w14:paraId="12282992" w14:textId="6C2EAFA2" w:rsidR="00580F6D" w:rsidRPr="00104202" w:rsidRDefault="00377756" w:rsidP="0080520E">
            <w:pPr>
              <w:pStyle w:val="TableContent"/>
              <w:rPr>
                <w:rFonts w:cstheme="minorHAnsi"/>
                <w:sz w:val="20"/>
                <w:szCs w:val="20"/>
              </w:rPr>
            </w:pPr>
            <w:r w:rsidRPr="00104202">
              <w:rPr>
                <w:rFonts w:cstheme="minorHAnsi"/>
                <w:sz w:val="20"/>
                <w:szCs w:val="20"/>
              </w:rPr>
              <w:t>-5.7%</w:t>
            </w:r>
          </w:p>
        </w:tc>
      </w:tr>
      <w:tr w:rsidR="00580F6D" w:rsidRPr="008F1FBA" w14:paraId="215B5003" w14:textId="77777777" w:rsidTr="003E6944">
        <w:trPr>
          <w:trHeight w:val="70"/>
          <w:jc w:val="center"/>
        </w:trPr>
        <w:tc>
          <w:tcPr>
            <w:tcW w:w="4075" w:type="dxa"/>
          </w:tcPr>
          <w:p w14:paraId="1A8EEAEF" w14:textId="77777777" w:rsidR="00580F6D" w:rsidRPr="00104202" w:rsidRDefault="00580F6D" w:rsidP="0080520E">
            <w:pPr>
              <w:pStyle w:val="TableContent"/>
              <w:rPr>
                <w:rFonts w:cstheme="minorHAnsi"/>
                <w:sz w:val="20"/>
                <w:szCs w:val="20"/>
              </w:rPr>
            </w:pPr>
            <w:r w:rsidRPr="00104202">
              <w:rPr>
                <w:rFonts w:cstheme="minorHAnsi"/>
                <w:sz w:val="20"/>
                <w:szCs w:val="20"/>
              </w:rPr>
              <w:t xml:space="preserve">Median Age </w:t>
            </w:r>
          </w:p>
        </w:tc>
        <w:tc>
          <w:tcPr>
            <w:tcW w:w="1354" w:type="dxa"/>
            <w:noWrap/>
            <w:vAlign w:val="center"/>
          </w:tcPr>
          <w:p w14:paraId="77D79356" w14:textId="33F7C39A" w:rsidR="00580F6D" w:rsidRPr="00104202" w:rsidRDefault="00580F6D" w:rsidP="0080520E">
            <w:pPr>
              <w:pStyle w:val="TableContent"/>
              <w:rPr>
                <w:rFonts w:cstheme="minorHAnsi"/>
                <w:sz w:val="20"/>
                <w:szCs w:val="20"/>
              </w:rPr>
            </w:pPr>
            <w:r w:rsidRPr="00104202">
              <w:rPr>
                <w:rFonts w:cstheme="minorHAnsi"/>
                <w:sz w:val="20"/>
                <w:szCs w:val="20"/>
              </w:rPr>
              <w:t>38.7</w:t>
            </w:r>
          </w:p>
        </w:tc>
        <w:tc>
          <w:tcPr>
            <w:tcW w:w="1354" w:type="dxa"/>
            <w:noWrap/>
            <w:vAlign w:val="center"/>
          </w:tcPr>
          <w:p w14:paraId="243C3325" w14:textId="43F57171" w:rsidR="00580F6D" w:rsidRPr="00104202" w:rsidRDefault="00580F6D" w:rsidP="0080520E">
            <w:pPr>
              <w:pStyle w:val="TableContent"/>
              <w:rPr>
                <w:rFonts w:cstheme="minorHAnsi"/>
                <w:sz w:val="20"/>
                <w:szCs w:val="20"/>
              </w:rPr>
            </w:pPr>
            <w:r w:rsidRPr="00104202">
              <w:rPr>
                <w:rFonts w:cstheme="minorHAnsi"/>
                <w:sz w:val="20"/>
                <w:szCs w:val="20"/>
              </w:rPr>
              <w:t>40.1</w:t>
            </w:r>
          </w:p>
        </w:tc>
        <w:tc>
          <w:tcPr>
            <w:tcW w:w="1354" w:type="dxa"/>
            <w:shd w:val="clear" w:color="auto" w:fill="F2F2F2" w:themeFill="background1" w:themeFillShade="F2"/>
            <w:noWrap/>
            <w:vAlign w:val="center"/>
          </w:tcPr>
          <w:p w14:paraId="3482D14F" w14:textId="53B8C427" w:rsidR="00580F6D" w:rsidRPr="00104202" w:rsidRDefault="00580F6D" w:rsidP="0080520E">
            <w:pPr>
              <w:pStyle w:val="TableContent"/>
              <w:rPr>
                <w:rFonts w:cstheme="minorHAnsi"/>
                <w:sz w:val="20"/>
                <w:szCs w:val="20"/>
              </w:rPr>
            </w:pPr>
            <w:r w:rsidRPr="00104202">
              <w:rPr>
                <w:rFonts w:cstheme="minorHAnsi"/>
                <w:sz w:val="20"/>
                <w:szCs w:val="20"/>
              </w:rPr>
              <w:t>42.2</w:t>
            </w:r>
          </w:p>
        </w:tc>
        <w:tc>
          <w:tcPr>
            <w:tcW w:w="1354" w:type="dxa"/>
            <w:shd w:val="clear" w:color="auto" w:fill="F2F2F2" w:themeFill="background1" w:themeFillShade="F2"/>
            <w:noWrap/>
            <w:vAlign w:val="center"/>
          </w:tcPr>
          <w:p w14:paraId="57C450C4" w14:textId="522FFBD3" w:rsidR="00580F6D" w:rsidRPr="00104202" w:rsidRDefault="00580F6D" w:rsidP="0080520E">
            <w:pPr>
              <w:pStyle w:val="TableContent"/>
              <w:rPr>
                <w:rFonts w:cstheme="minorHAnsi"/>
                <w:sz w:val="20"/>
                <w:szCs w:val="20"/>
              </w:rPr>
            </w:pPr>
            <w:r w:rsidRPr="00104202">
              <w:rPr>
                <w:rFonts w:cstheme="minorHAnsi"/>
                <w:sz w:val="20"/>
                <w:szCs w:val="20"/>
              </w:rPr>
              <w:t>46.2</w:t>
            </w:r>
          </w:p>
        </w:tc>
      </w:tr>
      <w:tr w:rsidR="00580F6D" w:rsidRPr="008F1FBA" w14:paraId="4F296228" w14:textId="77777777" w:rsidTr="003E6944">
        <w:trPr>
          <w:trHeight w:val="197"/>
          <w:jc w:val="center"/>
        </w:trPr>
        <w:tc>
          <w:tcPr>
            <w:tcW w:w="4075" w:type="dxa"/>
            <w:hideMark/>
          </w:tcPr>
          <w:p w14:paraId="471950A4" w14:textId="77777777" w:rsidR="00580F6D" w:rsidRPr="00104202" w:rsidRDefault="00580F6D" w:rsidP="0080520E">
            <w:pPr>
              <w:pStyle w:val="TableContent"/>
              <w:rPr>
                <w:rFonts w:cstheme="minorHAnsi"/>
                <w:sz w:val="20"/>
                <w:szCs w:val="20"/>
              </w:rPr>
            </w:pPr>
            <w:r w:rsidRPr="00104202">
              <w:rPr>
                <w:rFonts w:cstheme="minorHAnsi"/>
                <w:sz w:val="20"/>
                <w:szCs w:val="20"/>
              </w:rPr>
              <w:t xml:space="preserve">Median Household Income </w:t>
            </w:r>
          </w:p>
        </w:tc>
        <w:tc>
          <w:tcPr>
            <w:tcW w:w="1354" w:type="dxa"/>
            <w:vAlign w:val="center"/>
            <w:hideMark/>
          </w:tcPr>
          <w:p w14:paraId="31377D58" w14:textId="4317B1E7" w:rsidR="00580F6D" w:rsidRPr="00104202" w:rsidRDefault="00580F6D" w:rsidP="0080520E">
            <w:pPr>
              <w:pStyle w:val="TableContent"/>
              <w:rPr>
                <w:rFonts w:cstheme="minorHAnsi"/>
                <w:sz w:val="20"/>
                <w:szCs w:val="20"/>
              </w:rPr>
            </w:pPr>
            <w:r w:rsidRPr="00104202">
              <w:rPr>
                <w:rFonts w:cstheme="minorHAnsi"/>
                <w:sz w:val="20"/>
                <w:szCs w:val="20"/>
              </w:rPr>
              <w:t>78,538</w:t>
            </w:r>
          </w:p>
        </w:tc>
        <w:tc>
          <w:tcPr>
            <w:tcW w:w="1354" w:type="dxa"/>
            <w:vAlign w:val="center"/>
            <w:hideMark/>
          </w:tcPr>
          <w:p w14:paraId="38D063AC" w14:textId="3A0DC209" w:rsidR="00580F6D" w:rsidRPr="00104202" w:rsidRDefault="00580F6D" w:rsidP="0080520E">
            <w:pPr>
              <w:pStyle w:val="TableContent"/>
              <w:rPr>
                <w:rFonts w:cstheme="minorHAnsi"/>
                <w:sz w:val="20"/>
                <w:szCs w:val="20"/>
              </w:rPr>
            </w:pPr>
            <w:r w:rsidRPr="00104202">
              <w:rPr>
                <w:rFonts w:cstheme="minorHAnsi"/>
                <w:sz w:val="20"/>
                <w:szCs w:val="20"/>
              </w:rPr>
              <w:t>101,050</w:t>
            </w:r>
          </w:p>
        </w:tc>
        <w:tc>
          <w:tcPr>
            <w:tcW w:w="1354" w:type="dxa"/>
            <w:shd w:val="clear" w:color="auto" w:fill="F2F2F2" w:themeFill="background1" w:themeFillShade="F2"/>
            <w:vAlign w:val="center"/>
            <w:hideMark/>
          </w:tcPr>
          <w:p w14:paraId="2D8C9AFF" w14:textId="3D3775DA" w:rsidR="00580F6D" w:rsidRPr="00104202" w:rsidRDefault="00E03CD2" w:rsidP="0080520E">
            <w:pPr>
              <w:pStyle w:val="TableContent"/>
              <w:rPr>
                <w:rFonts w:cstheme="minorHAnsi"/>
                <w:sz w:val="20"/>
                <w:szCs w:val="20"/>
              </w:rPr>
            </w:pPr>
            <w:r w:rsidRPr="00104202">
              <w:rPr>
                <w:rFonts w:cstheme="minorHAnsi"/>
                <w:sz w:val="20"/>
                <w:szCs w:val="20"/>
              </w:rPr>
              <w:t>76,819</w:t>
            </w:r>
          </w:p>
        </w:tc>
        <w:tc>
          <w:tcPr>
            <w:tcW w:w="1354" w:type="dxa"/>
            <w:shd w:val="clear" w:color="auto" w:fill="F2F2F2" w:themeFill="background1" w:themeFillShade="F2"/>
            <w:vAlign w:val="center"/>
            <w:hideMark/>
          </w:tcPr>
          <w:p w14:paraId="0656E8B0" w14:textId="0D4F7B3C" w:rsidR="00580F6D" w:rsidRPr="00104202" w:rsidRDefault="00E03CD2" w:rsidP="0080520E">
            <w:pPr>
              <w:pStyle w:val="TableContent"/>
              <w:rPr>
                <w:rFonts w:cstheme="minorHAnsi"/>
                <w:sz w:val="20"/>
                <w:szCs w:val="20"/>
              </w:rPr>
            </w:pPr>
            <w:r w:rsidRPr="00104202">
              <w:rPr>
                <w:rFonts w:cstheme="minorHAnsi"/>
                <w:sz w:val="20"/>
                <w:szCs w:val="20"/>
              </w:rPr>
              <w:t>91,875</w:t>
            </w:r>
          </w:p>
        </w:tc>
      </w:tr>
      <w:tr w:rsidR="00580F6D" w:rsidRPr="008F1FBA" w14:paraId="684DD55E" w14:textId="77777777" w:rsidTr="003E6944">
        <w:trPr>
          <w:trHeight w:val="50"/>
          <w:jc w:val="center"/>
        </w:trPr>
        <w:tc>
          <w:tcPr>
            <w:tcW w:w="4075" w:type="dxa"/>
            <w:hideMark/>
          </w:tcPr>
          <w:p w14:paraId="01A7778B" w14:textId="77777777" w:rsidR="00580F6D" w:rsidRPr="00104202" w:rsidRDefault="00580F6D" w:rsidP="0080520E">
            <w:pPr>
              <w:pStyle w:val="TableContent"/>
              <w:rPr>
                <w:rFonts w:cstheme="minorHAnsi"/>
                <w:sz w:val="20"/>
                <w:szCs w:val="20"/>
              </w:rPr>
            </w:pPr>
            <w:r w:rsidRPr="00104202">
              <w:rPr>
                <w:rFonts w:cstheme="minorHAnsi"/>
                <w:sz w:val="20"/>
                <w:szCs w:val="20"/>
              </w:rPr>
              <w:t>Below Poverty Level</w:t>
            </w:r>
          </w:p>
        </w:tc>
        <w:tc>
          <w:tcPr>
            <w:tcW w:w="1354" w:type="dxa"/>
            <w:noWrap/>
            <w:vAlign w:val="center"/>
            <w:hideMark/>
          </w:tcPr>
          <w:p w14:paraId="10A1CF43" w14:textId="7F10C547" w:rsidR="00580F6D" w:rsidRPr="00104202" w:rsidRDefault="00580F6D" w:rsidP="0080520E">
            <w:pPr>
              <w:pStyle w:val="TableContent"/>
              <w:rPr>
                <w:rFonts w:cstheme="minorHAnsi"/>
                <w:sz w:val="20"/>
                <w:szCs w:val="20"/>
              </w:rPr>
            </w:pPr>
            <w:r w:rsidRPr="00104202">
              <w:rPr>
                <w:rFonts w:cstheme="minorHAnsi"/>
                <w:sz w:val="20"/>
                <w:szCs w:val="20"/>
              </w:rPr>
              <w:t>12.4%</w:t>
            </w:r>
          </w:p>
        </w:tc>
        <w:tc>
          <w:tcPr>
            <w:tcW w:w="1354" w:type="dxa"/>
            <w:noWrap/>
            <w:vAlign w:val="center"/>
            <w:hideMark/>
          </w:tcPr>
          <w:p w14:paraId="2A9906EC" w14:textId="3CD99FC6" w:rsidR="00580F6D" w:rsidRPr="00104202" w:rsidRDefault="00580F6D" w:rsidP="0080520E">
            <w:pPr>
              <w:pStyle w:val="TableContent"/>
              <w:rPr>
                <w:rFonts w:cstheme="minorHAnsi"/>
                <w:sz w:val="20"/>
                <w:szCs w:val="20"/>
              </w:rPr>
            </w:pPr>
            <w:r w:rsidRPr="00104202">
              <w:rPr>
                <w:rFonts w:cstheme="minorHAnsi"/>
                <w:sz w:val="20"/>
                <w:szCs w:val="20"/>
              </w:rPr>
              <w:t>9.8%</w:t>
            </w:r>
          </w:p>
        </w:tc>
        <w:tc>
          <w:tcPr>
            <w:tcW w:w="1354" w:type="dxa"/>
            <w:shd w:val="clear" w:color="auto" w:fill="F2F2F2" w:themeFill="background1" w:themeFillShade="F2"/>
            <w:noWrap/>
            <w:vAlign w:val="center"/>
            <w:hideMark/>
          </w:tcPr>
          <w:p w14:paraId="4BAB58F3" w14:textId="7C3A9A53" w:rsidR="00580F6D" w:rsidRPr="00104202" w:rsidRDefault="00117849" w:rsidP="0080520E">
            <w:pPr>
              <w:pStyle w:val="TableContent"/>
              <w:rPr>
                <w:rFonts w:cstheme="minorHAnsi"/>
                <w:sz w:val="20"/>
                <w:szCs w:val="20"/>
              </w:rPr>
            </w:pPr>
            <w:r w:rsidRPr="00104202">
              <w:rPr>
                <w:rFonts w:cstheme="minorHAnsi"/>
                <w:sz w:val="20"/>
                <w:szCs w:val="20"/>
              </w:rPr>
              <w:t>13.1</w:t>
            </w:r>
            <w:r w:rsidR="00162574" w:rsidRPr="00104202">
              <w:rPr>
                <w:rFonts w:cstheme="minorHAnsi"/>
                <w:sz w:val="20"/>
                <w:szCs w:val="20"/>
              </w:rPr>
              <w:t>%</w:t>
            </w:r>
          </w:p>
        </w:tc>
        <w:tc>
          <w:tcPr>
            <w:tcW w:w="1354" w:type="dxa"/>
            <w:noWrap/>
            <w:vAlign w:val="center"/>
            <w:hideMark/>
          </w:tcPr>
          <w:p w14:paraId="5BB921AD" w14:textId="6F3F523E" w:rsidR="00580F6D" w:rsidRPr="00104202" w:rsidRDefault="00117849" w:rsidP="0080520E">
            <w:pPr>
              <w:pStyle w:val="TableContent"/>
              <w:rPr>
                <w:rFonts w:cstheme="minorHAnsi"/>
                <w:sz w:val="20"/>
                <w:szCs w:val="20"/>
              </w:rPr>
            </w:pPr>
            <w:r w:rsidRPr="00104202">
              <w:rPr>
                <w:rFonts w:cstheme="minorHAnsi"/>
                <w:sz w:val="20"/>
                <w:szCs w:val="20"/>
              </w:rPr>
              <w:t>7.3</w:t>
            </w:r>
            <w:r w:rsidR="00162574" w:rsidRPr="00104202">
              <w:rPr>
                <w:rFonts w:cstheme="minorHAnsi"/>
                <w:sz w:val="20"/>
                <w:szCs w:val="20"/>
              </w:rPr>
              <w:t>%</w:t>
            </w:r>
          </w:p>
        </w:tc>
      </w:tr>
      <w:tr w:rsidR="00580F6D" w:rsidRPr="008F1FBA" w14:paraId="222DB484" w14:textId="77777777" w:rsidTr="003E6944">
        <w:trPr>
          <w:trHeight w:val="50"/>
          <w:jc w:val="center"/>
        </w:trPr>
        <w:tc>
          <w:tcPr>
            <w:tcW w:w="4075" w:type="dxa"/>
            <w:hideMark/>
          </w:tcPr>
          <w:p w14:paraId="0CFF6A18" w14:textId="77777777" w:rsidR="00580F6D" w:rsidRPr="00104202" w:rsidRDefault="00580F6D" w:rsidP="0080520E">
            <w:pPr>
              <w:pStyle w:val="TableContent"/>
              <w:rPr>
                <w:rFonts w:cstheme="minorHAnsi"/>
                <w:sz w:val="20"/>
                <w:szCs w:val="20"/>
              </w:rPr>
            </w:pPr>
            <w:r w:rsidRPr="00104202">
              <w:rPr>
                <w:rFonts w:cstheme="minorHAnsi"/>
                <w:sz w:val="20"/>
                <w:szCs w:val="20"/>
              </w:rPr>
              <w:t xml:space="preserve">Unemployment Rate </w:t>
            </w:r>
          </w:p>
        </w:tc>
        <w:tc>
          <w:tcPr>
            <w:tcW w:w="1354" w:type="dxa"/>
            <w:noWrap/>
            <w:vAlign w:val="center"/>
            <w:hideMark/>
          </w:tcPr>
          <w:p w14:paraId="3D95C042" w14:textId="416D373E" w:rsidR="00580F6D" w:rsidRPr="00104202" w:rsidRDefault="00580F6D" w:rsidP="0080520E">
            <w:pPr>
              <w:pStyle w:val="TableContent"/>
              <w:rPr>
                <w:rFonts w:cstheme="minorHAnsi"/>
                <w:sz w:val="20"/>
                <w:szCs w:val="20"/>
              </w:rPr>
            </w:pPr>
            <w:r w:rsidRPr="00104202">
              <w:rPr>
                <w:rFonts w:cstheme="minorHAnsi"/>
                <w:sz w:val="20"/>
                <w:szCs w:val="20"/>
              </w:rPr>
              <w:t>5.2%</w:t>
            </w:r>
          </w:p>
        </w:tc>
        <w:tc>
          <w:tcPr>
            <w:tcW w:w="1354" w:type="dxa"/>
            <w:noWrap/>
            <w:vAlign w:val="center"/>
            <w:hideMark/>
          </w:tcPr>
          <w:p w14:paraId="34FD7DE4" w14:textId="03D333DE" w:rsidR="00580F6D" w:rsidRPr="00104202" w:rsidRDefault="00580F6D" w:rsidP="0080520E">
            <w:pPr>
              <w:pStyle w:val="TableContent"/>
              <w:rPr>
                <w:rFonts w:cstheme="minorHAnsi"/>
                <w:sz w:val="20"/>
                <w:szCs w:val="20"/>
              </w:rPr>
            </w:pPr>
            <w:r w:rsidRPr="00104202">
              <w:rPr>
                <w:rFonts w:cstheme="minorHAnsi"/>
                <w:sz w:val="20"/>
                <w:szCs w:val="20"/>
              </w:rPr>
              <w:t>6.2%</w:t>
            </w:r>
          </w:p>
        </w:tc>
        <w:tc>
          <w:tcPr>
            <w:tcW w:w="1354" w:type="dxa"/>
            <w:shd w:val="clear" w:color="auto" w:fill="F2F2F2" w:themeFill="background1" w:themeFillShade="F2"/>
            <w:noWrap/>
            <w:vAlign w:val="center"/>
            <w:hideMark/>
          </w:tcPr>
          <w:p w14:paraId="7BD36C77" w14:textId="6B430A88" w:rsidR="00580F6D" w:rsidRPr="00104202" w:rsidRDefault="0039226B" w:rsidP="0080520E">
            <w:pPr>
              <w:pStyle w:val="TableContent"/>
              <w:rPr>
                <w:rFonts w:cstheme="minorHAnsi"/>
                <w:sz w:val="20"/>
                <w:szCs w:val="20"/>
              </w:rPr>
            </w:pPr>
            <w:r w:rsidRPr="00104202">
              <w:rPr>
                <w:rFonts w:cstheme="minorHAnsi"/>
                <w:sz w:val="20"/>
                <w:szCs w:val="20"/>
              </w:rPr>
              <w:t>8.1</w:t>
            </w:r>
            <w:r w:rsidR="00162574" w:rsidRPr="00104202">
              <w:rPr>
                <w:rFonts w:cstheme="minorHAnsi"/>
                <w:sz w:val="20"/>
                <w:szCs w:val="20"/>
              </w:rPr>
              <w:t>%</w:t>
            </w:r>
          </w:p>
        </w:tc>
        <w:tc>
          <w:tcPr>
            <w:tcW w:w="1354" w:type="dxa"/>
            <w:noWrap/>
            <w:vAlign w:val="center"/>
            <w:hideMark/>
          </w:tcPr>
          <w:p w14:paraId="6BFB4908" w14:textId="05F806E9" w:rsidR="00580F6D" w:rsidRPr="00104202" w:rsidRDefault="0039226B" w:rsidP="0080520E">
            <w:pPr>
              <w:pStyle w:val="TableContent"/>
              <w:rPr>
                <w:rFonts w:cstheme="minorHAnsi"/>
                <w:sz w:val="20"/>
                <w:szCs w:val="20"/>
              </w:rPr>
            </w:pPr>
            <w:r w:rsidRPr="00104202">
              <w:rPr>
                <w:rFonts w:cstheme="minorHAnsi"/>
                <w:sz w:val="20"/>
                <w:szCs w:val="20"/>
              </w:rPr>
              <w:t>4.2</w:t>
            </w:r>
            <w:r w:rsidR="00162574" w:rsidRPr="00104202">
              <w:rPr>
                <w:rFonts w:cstheme="minorHAnsi"/>
                <w:sz w:val="20"/>
                <w:szCs w:val="20"/>
              </w:rPr>
              <w:t>%</w:t>
            </w:r>
          </w:p>
        </w:tc>
      </w:tr>
    </w:tbl>
    <w:p w14:paraId="4E72E220" w14:textId="20BC447D" w:rsidR="009B0201" w:rsidRPr="00B05C90" w:rsidRDefault="50876010" w:rsidP="00B05C90">
      <w:pPr>
        <w:pStyle w:val="TableNotes"/>
      </w:pPr>
      <w:r w:rsidRPr="001F3C8E">
        <w:t xml:space="preserve">Notes: </w:t>
      </w:r>
      <w:r w:rsidRPr="00B05C90">
        <w:t xml:space="preserve">Shading indicates disparities compared to the </w:t>
      </w:r>
      <w:r w:rsidR="0003195C" w:rsidRPr="00B05C90">
        <w:t>C</w:t>
      </w:r>
      <w:r w:rsidRPr="00B05C90">
        <w:t>ounty, state, or the U.S. Data Source: U.S. Census 202</w:t>
      </w:r>
      <w:r w:rsidR="591C81F6" w:rsidRPr="00B05C90">
        <w:t>3</w:t>
      </w:r>
      <w:r w:rsidRPr="00B05C90">
        <w:t xml:space="preserve"> American Community survey 5-year estimates (201</w:t>
      </w:r>
      <w:r w:rsidR="360BDA48" w:rsidRPr="00B05C90">
        <w:t>9</w:t>
      </w:r>
      <w:r w:rsidRPr="00B05C90">
        <w:t>-202</w:t>
      </w:r>
      <w:r w:rsidR="7F8B3812" w:rsidRPr="00B05C90">
        <w:t>3</w:t>
      </w:r>
      <w:r w:rsidRPr="00B05C90">
        <w:t>)</w:t>
      </w:r>
    </w:p>
    <w:p w14:paraId="356888C2" w14:textId="3479B106" w:rsidR="003071BF" w:rsidRPr="001F3C8E" w:rsidRDefault="00F01534" w:rsidP="00F4056D">
      <w:pPr>
        <w:pStyle w:val="Heading3"/>
      </w:pPr>
      <w:r w:rsidRPr="001F3C8E">
        <w:t>2.</w:t>
      </w:r>
      <w:r w:rsidR="00166393" w:rsidRPr="001F3C8E">
        <w:t>b.</w:t>
      </w:r>
      <w:r w:rsidR="00865F23" w:rsidRPr="001F3C8E">
        <w:t xml:space="preserve"> </w:t>
      </w:r>
      <w:r w:rsidR="003071BF" w:rsidRPr="001F3C8E">
        <w:t>Health or Welfare of Sensitive Populations</w:t>
      </w:r>
    </w:p>
    <w:p w14:paraId="2610E2E6" w14:textId="719C20DC" w:rsidR="009B22E1" w:rsidRPr="001F3C8E" w:rsidRDefault="009B22E1" w:rsidP="001F3C8E">
      <w:pPr>
        <w:pStyle w:val="TableTitle"/>
        <w:rPr>
          <w:b w:val="0"/>
          <w:bCs w:val="0"/>
        </w:rPr>
      </w:pPr>
      <w:r w:rsidRPr="001F3C8E">
        <w:t xml:space="preserve">Table </w:t>
      </w:r>
      <w:r w:rsidR="00615BBE">
        <w:t>3</w:t>
      </w:r>
      <w:r w:rsidR="000F2776" w:rsidRPr="001F3C8E">
        <w:t>.</w:t>
      </w:r>
      <w:r w:rsidRPr="001F3C8E">
        <w:t xml:space="preserve"> Inequitable Health Burdens</w:t>
      </w:r>
    </w:p>
    <w:tbl>
      <w:tblPr>
        <w:tblStyle w:val="TableGridLight"/>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340"/>
        <w:gridCol w:w="1170"/>
        <w:gridCol w:w="1810"/>
        <w:gridCol w:w="1620"/>
      </w:tblGrid>
      <w:tr w:rsidR="009B22E1" w:rsidRPr="008F1FBA" w14:paraId="21D75835" w14:textId="77777777" w:rsidTr="001F3C8E">
        <w:trPr>
          <w:trHeight w:val="107"/>
          <w:tblHeader/>
          <w:jc w:val="center"/>
        </w:trPr>
        <w:tc>
          <w:tcPr>
            <w:tcW w:w="3155" w:type="dxa"/>
            <w:shd w:val="clear" w:color="auto" w:fill="DFDCDA" w:themeFill="text1" w:themeFillTint="33"/>
            <w:vAlign w:val="center"/>
            <w:hideMark/>
          </w:tcPr>
          <w:p w14:paraId="70DD646C" w14:textId="77777777" w:rsidR="009B22E1" w:rsidRPr="00104202" w:rsidRDefault="009B22E1" w:rsidP="004D3B94">
            <w:pPr>
              <w:pStyle w:val="TableColumnHeading"/>
              <w:spacing w:before="0" w:after="0"/>
              <w:rPr>
                <w:sz w:val="20"/>
                <w:szCs w:val="20"/>
              </w:rPr>
            </w:pPr>
            <w:r w:rsidRPr="00104202">
              <w:rPr>
                <w:sz w:val="20"/>
                <w:szCs w:val="20"/>
              </w:rPr>
              <w:t>Indicator</w:t>
            </w:r>
          </w:p>
        </w:tc>
        <w:tc>
          <w:tcPr>
            <w:tcW w:w="1340" w:type="dxa"/>
            <w:shd w:val="clear" w:color="auto" w:fill="DFDCDA" w:themeFill="text1" w:themeFillTint="33"/>
            <w:vAlign w:val="center"/>
            <w:hideMark/>
          </w:tcPr>
          <w:p w14:paraId="78627F63" w14:textId="241D5D22" w:rsidR="009B22E1" w:rsidRPr="00104202" w:rsidRDefault="009B22E1" w:rsidP="004D3B94">
            <w:pPr>
              <w:pStyle w:val="TableColumnHeading"/>
              <w:spacing w:before="0" w:after="0"/>
              <w:rPr>
                <w:sz w:val="20"/>
                <w:szCs w:val="20"/>
              </w:rPr>
            </w:pPr>
            <w:r w:rsidRPr="00104202">
              <w:rPr>
                <w:sz w:val="20"/>
                <w:szCs w:val="20"/>
              </w:rPr>
              <w:t>U</w:t>
            </w:r>
            <w:r w:rsidR="00E511E8" w:rsidRPr="00104202">
              <w:rPr>
                <w:sz w:val="20"/>
                <w:szCs w:val="20"/>
              </w:rPr>
              <w:t xml:space="preserve">nited </w:t>
            </w:r>
            <w:r w:rsidRPr="00104202">
              <w:rPr>
                <w:sz w:val="20"/>
                <w:szCs w:val="20"/>
              </w:rPr>
              <w:t>S</w:t>
            </w:r>
            <w:r w:rsidR="00E511E8" w:rsidRPr="00104202">
              <w:rPr>
                <w:sz w:val="20"/>
                <w:szCs w:val="20"/>
              </w:rPr>
              <w:t>tates</w:t>
            </w:r>
          </w:p>
        </w:tc>
        <w:tc>
          <w:tcPr>
            <w:tcW w:w="1170" w:type="dxa"/>
            <w:shd w:val="clear" w:color="auto" w:fill="DFDCDA" w:themeFill="text1" w:themeFillTint="33"/>
            <w:vAlign w:val="center"/>
            <w:hideMark/>
          </w:tcPr>
          <w:p w14:paraId="75BDF86A" w14:textId="03C47AE6" w:rsidR="009B22E1" w:rsidRPr="00104202" w:rsidRDefault="00AB7DB0" w:rsidP="004D3B94">
            <w:pPr>
              <w:pStyle w:val="TableColumnHeading"/>
              <w:spacing w:before="0" w:after="0"/>
              <w:rPr>
                <w:sz w:val="20"/>
                <w:szCs w:val="20"/>
              </w:rPr>
            </w:pPr>
            <w:r w:rsidRPr="00104202">
              <w:rPr>
                <w:sz w:val="20"/>
                <w:szCs w:val="20"/>
              </w:rPr>
              <w:t>New Jersey</w:t>
            </w:r>
          </w:p>
        </w:tc>
        <w:tc>
          <w:tcPr>
            <w:tcW w:w="1810" w:type="dxa"/>
            <w:shd w:val="clear" w:color="auto" w:fill="DFDCDA" w:themeFill="text1" w:themeFillTint="33"/>
            <w:vAlign w:val="center"/>
            <w:hideMark/>
          </w:tcPr>
          <w:p w14:paraId="13EFF9AA" w14:textId="158AAC6F" w:rsidR="009B22E1" w:rsidRPr="00104202" w:rsidRDefault="00E566A2" w:rsidP="004D3B94">
            <w:pPr>
              <w:pStyle w:val="TableColumnHeading"/>
              <w:spacing w:before="0" w:after="0"/>
              <w:rPr>
                <w:sz w:val="20"/>
                <w:szCs w:val="20"/>
              </w:rPr>
            </w:pPr>
            <w:r w:rsidRPr="00104202">
              <w:rPr>
                <w:sz w:val="20"/>
                <w:szCs w:val="20"/>
              </w:rPr>
              <w:t>County</w:t>
            </w:r>
          </w:p>
        </w:tc>
        <w:tc>
          <w:tcPr>
            <w:tcW w:w="1620" w:type="dxa"/>
            <w:shd w:val="clear" w:color="auto" w:fill="DFDCDA" w:themeFill="text1" w:themeFillTint="33"/>
            <w:vAlign w:val="center"/>
            <w:hideMark/>
          </w:tcPr>
          <w:p w14:paraId="7849ABAC" w14:textId="0405D1F4" w:rsidR="009B22E1" w:rsidRPr="00104202" w:rsidRDefault="582E8A56" w:rsidP="004D3B94">
            <w:pPr>
              <w:pStyle w:val="TableColumnHeading"/>
              <w:spacing w:before="0" w:after="0"/>
              <w:rPr>
                <w:sz w:val="20"/>
                <w:szCs w:val="20"/>
              </w:rPr>
            </w:pPr>
            <w:r w:rsidRPr="00104202">
              <w:rPr>
                <w:sz w:val="20"/>
                <w:szCs w:val="20"/>
              </w:rPr>
              <w:t xml:space="preserve">Mullica </w:t>
            </w:r>
          </w:p>
        </w:tc>
      </w:tr>
      <w:tr w:rsidR="0059676D" w:rsidRPr="008F1FBA" w14:paraId="387219A3" w14:textId="77777777" w:rsidTr="001F3C8E">
        <w:trPr>
          <w:trHeight w:val="50"/>
          <w:jc w:val="center"/>
        </w:trPr>
        <w:tc>
          <w:tcPr>
            <w:tcW w:w="3155" w:type="dxa"/>
            <w:noWrap/>
            <w:hideMark/>
          </w:tcPr>
          <w:p w14:paraId="5D5FC052" w14:textId="77777777" w:rsidR="0059676D" w:rsidRPr="00104202" w:rsidRDefault="0059676D" w:rsidP="004D3B94">
            <w:pPr>
              <w:pStyle w:val="TableContent"/>
              <w:rPr>
                <w:sz w:val="20"/>
                <w:szCs w:val="20"/>
              </w:rPr>
            </w:pPr>
            <w:r w:rsidRPr="00104202">
              <w:rPr>
                <w:sz w:val="20"/>
                <w:szCs w:val="20"/>
              </w:rPr>
              <w:t>Age Above 65</w:t>
            </w:r>
          </w:p>
        </w:tc>
        <w:tc>
          <w:tcPr>
            <w:tcW w:w="1340" w:type="dxa"/>
            <w:vAlign w:val="center"/>
            <w:hideMark/>
          </w:tcPr>
          <w:p w14:paraId="3D61E62D" w14:textId="0416D7DD" w:rsidR="0059676D" w:rsidRPr="00104202" w:rsidRDefault="0059676D" w:rsidP="004D3B94">
            <w:pPr>
              <w:pStyle w:val="TableContent"/>
              <w:rPr>
                <w:sz w:val="20"/>
                <w:szCs w:val="20"/>
              </w:rPr>
            </w:pPr>
            <w:r w:rsidRPr="00104202">
              <w:rPr>
                <w:sz w:val="20"/>
                <w:szCs w:val="20"/>
              </w:rPr>
              <w:t>16.8%</w:t>
            </w:r>
          </w:p>
        </w:tc>
        <w:tc>
          <w:tcPr>
            <w:tcW w:w="1170" w:type="dxa"/>
            <w:noWrap/>
            <w:vAlign w:val="center"/>
            <w:hideMark/>
          </w:tcPr>
          <w:p w14:paraId="6FC824C3" w14:textId="7B63FC6B" w:rsidR="0059676D" w:rsidRPr="00104202" w:rsidRDefault="0059676D" w:rsidP="004D3B94">
            <w:pPr>
              <w:pStyle w:val="TableContent"/>
              <w:rPr>
                <w:sz w:val="20"/>
                <w:szCs w:val="20"/>
              </w:rPr>
            </w:pPr>
            <w:r w:rsidRPr="00104202">
              <w:rPr>
                <w:sz w:val="20"/>
                <w:szCs w:val="20"/>
              </w:rPr>
              <w:t>16.8%</w:t>
            </w:r>
          </w:p>
        </w:tc>
        <w:tc>
          <w:tcPr>
            <w:tcW w:w="1810" w:type="dxa"/>
            <w:noWrap/>
            <w:vAlign w:val="center"/>
            <w:hideMark/>
          </w:tcPr>
          <w:p w14:paraId="6C373390" w14:textId="20D01F83" w:rsidR="0059676D" w:rsidRPr="00104202" w:rsidRDefault="001955B6" w:rsidP="004D3B94">
            <w:pPr>
              <w:pStyle w:val="TableContent"/>
              <w:rPr>
                <w:sz w:val="20"/>
                <w:szCs w:val="20"/>
              </w:rPr>
            </w:pPr>
            <w:r w:rsidRPr="00104202">
              <w:rPr>
                <w:sz w:val="20"/>
                <w:szCs w:val="20"/>
              </w:rPr>
              <w:t>14.6</w:t>
            </w:r>
            <w:r w:rsidR="002F27CF" w:rsidRPr="00104202">
              <w:rPr>
                <w:sz w:val="20"/>
                <w:szCs w:val="20"/>
              </w:rPr>
              <w:t>%</w:t>
            </w:r>
          </w:p>
        </w:tc>
        <w:tc>
          <w:tcPr>
            <w:tcW w:w="1620" w:type="dxa"/>
            <w:shd w:val="clear" w:color="auto" w:fill="F2F2F2" w:themeFill="background1" w:themeFillShade="F2"/>
            <w:noWrap/>
            <w:vAlign w:val="center"/>
            <w:hideMark/>
          </w:tcPr>
          <w:p w14:paraId="1CC21CB7" w14:textId="6B559C8F" w:rsidR="0059676D" w:rsidRPr="00104202" w:rsidRDefault="002F27CF" w:rsidP="004D3B94">
            <w:pPr>
              <w:pStyle w:val="TableContent"/>
              <w:rPr>
                <w:sz w:val="20"/>
                <w:szCs w:val="20"/>
              </w:rPr>
            </w:pPr>
            <w:r w:rsidRPr="00104202">
              <w:rPr>
                <w:sz w:val="20"/>
                <w:szCs w:val="20"/>
              </w:rPr>
              <w:t>15.5%</w:t>
            </w:r>
          </w:p>
        </w:tc>
      </w:tr>
      <w:tr w:rsidR="0059676D" w:rsidRPr="008F1FBA" w14:paraId="0501D18A" w14:textId="77777777" w:rsidTr="001F3C8E">
        <w:trPr>
          <w:trHeight w:val="50"/>
          <w:jc w:val="center"/>
        </w:trPr>
        <w:tc>
          <w:tcPr>
            <w:tcW w:w="3155" w:type="dxa"/>
            <w:noWrap/>
          </w:tcPr>
          <w:p w14:paraId="0C4E5251" w14:textId="77777777" w:rsidR="0059676D" w:rsidRPr="00104202" w:rsidRDefault="0059676D" w:rsidP="004D3B94">
            <w:pPr>
              <w:pStyle w:val="TableContent"/>
              <w:rPr>
                <w:sz w:val="20"/>
                <w:szCs w:val="20"/>
              </w:rPr>
            </w:pPr>
            <w:r w:rsidRPr="00104202">
              <w:rPr>
                <w:sz w:val="20"/>
                <w:szCs w:val="20"/>
              </w:rPr>
              <w:t xml:space="preserve">Age Above 65 Below Poverty </w:t>
            </w:r>
          </w:p>
        </w:tc>
        <w:tc>
          <w:tcPr>
            <w:tcW w:w="1340" w:type="dxa"/>
            <w:vAlign w:val="center"/>
          </w:tcPr>
          <w:p w14:paraId="33B8A792" w14:textId="45D78B7C" w:rsidR="0059676D" w:rsidRPr="00104202" w:rsidRDefault="0059676D" w:rsidP="004D3B94">
            <w:pPr>
              <w:pStyle w:val="TableContent"/>
              <w:rPr>
                <w:sz w:val="20"/>
                <w:szCs w:val="20"/>
              </w:rPr>
            </w:pPr>
            <w:r w:rsidRPr="00104202">
              <w:rPr>
                <w:sz w:val="20"/>
                <w:szCs w:val="20"/>
              </w:rPr>
              <w:t>10.4%</w:t>
            </w:r>
          </w:p>
        </w:tc>
        <w:tc>
          <w:tcPr>
            <w:tcW w:w="1170" w:type="dxa"/>
            <w:noWrap/>
            <w:vAlign w:val="center"/>
          </w:tcPr>
          <w:p w14:paraId="4E016414" w14:textId="790EDC33" w:rsidR="0059676D" w:rsidRPr="00104202" w:rsidRDefault="0059676D" w:rsidP="004D3B94">
            <w:pPr>
              <w:pStyle w:val="TableContent"/>
              <w:rPr>
                <w:sz w:val="20"/>
                <w:szCs w:val="20"/>
              </w:rPr>
            </w:pPr>
            <w:r w:rsidRPr="00104202">
              <w:rPr>
                <w:sz w:val="20"/>
                <w:szCs w:val="20"/>
              </w:rPr>
              <w:t>9.5%</w:t>
            </w:r>
          </w:p>
        </w:tc>
        <w:tc>
          <w:tcPr>
            <w:tcW w:w="1810" w:type="dxa"/>
            <w:shd w:val="clear" w:color="auto" w:fill="F2F2F2" w:themeFill="background1" w:themeFillShade="F2"/>
            <w:noWrap/>
            <w:vAlign w:val="center"/>
          </w:tcPr>
          <w:p w14:paraId="26693D84" w14:textId="22AF3042" w:rsidR="0059676D" w:rsidRPr="00104202" w:rsidRDefault="00C1326C" w:rsidP="004D3B94">
            <w:pPr>
              <w:pStyle w:val="TableContent"/>
              <w:rPr>
                <w:sz w:val="20"/>
                <w:szCs w:val="20"/>
              </w:rPr>
            </w:pPr>
            <w:r w:rsidRPr="00104202">
              <w:rPr>
                <w:sz w:val="20"/>
                <w:szCs w:val="20"/>
              </w:rPr>
              <w:t>10.0</w:t>
            </w:r>
            <w:r w:rsidR="00BD18DB" w:rsidRPr="00104202">
              <w:rPr>
                <w:sz w:val="20"/>
                <w:szCs w:val="20"/>
              </w:rPr>
              <w:t>%</w:t>
            </w:r>
          </w:p>
        </w:tc>
        <w:tc>
          <w:tcPr>
            <w:tcW w:w="1620" w:type="dxa"/>
            <w:noWrap/>
            <w:vAlign w:val="center"/>
          </w:tcPr>
          <w:p w14:paraId="2E69BA29" w14:textId="35DB09DA" w:rsidR="0059676D" w:rsidRPr="00104202" w:rsidRDefault="00C1326C" w:rsidP="004D3B94">
            <w:pPr>
              <w:pStyle w:val="TableContent"/>
              <w:rPr>
                <w:sz w:val="20"/>
                <w:szCs w:val="20"/>
              </w:rPr>
            </w:pPr>
            <w:r w:rsidRPr="00104202">
              <w:rPr>
                <w:sz w:val="20"/>
                <w:szCs w:val="20"/>
              </w:rPr>
              <w:t>9.0</w:t>
            </w:r>
            <w:r w:rsidR="00BD18DB" w:rsidRPr="00104202">
              <w:rPr>
                <w:sz w:val="20"/>
                <w:szCs w:val="20"/>
              </w:rPr>
              <w:t>%</w:t>
            </w:r>
          </w:p>
        </w:tc>
      </w:tr>
      <w:tr w:rsidR="0059676D" w:rsidRPr="008F1FBA" w14:paraId="118C9042" w14:textId="77777777" w:rsidTr="001F3C8E">
        <w:trPr>
          <w:trHeight w:val="50"/>
          <w:jc w:val="center"/>
        </w:trPr>
        <w:tc>
          <w:tcPr>
            <w:tcW w:w="3155" w:type="dxa"/>
            <w:noWrap/>
            <w:hideMark/>
          </w:tcPr>
          <w:p w14:paraId="31D03C8D" w14:textId="77777777" w:rsidR="0059676D" w:rsidRPr="00104202" w:rsidRDefault="0059676D" w:rsidP="004D3B94">
            <w:pPr>
              <w:pStyle w:val="TableContent"/>
              <w:rPr>
                <w:sz w:val="20"/>
                <w:szCs w:val="20"/>
              </w:rPr>
            </w:pPr>
            <w:r w:rsidRPr="00104202">
              <w:rPr>
                <w:sz w:val="20"/>
                <w:szCs w:val="20"/>
              </w:rPr>
              <w:t>Age Under 18</w:t>
            </w:r>
          </w:p>
        </w:tc>
        <w:tc>
          <w:tcPr>
            <w:tcW w:w="1340" w:type="dxa"/>
            <w:noWrap/>
            <w:vAlign w:val="center"/>
            <w:hideMark/>
          </w:tcPr>
          <w:p w14:paraId="1CAFC784" w14:textId="4A228DA8" w:rsidR="0059676D" w:rsidRPr="00104202" w:rsidRDefault="0059676D" w:rsidP="004D3B94">
            <w:pPr>
              <w:pStyle w:val="TableContent"/>
              <w:rPr>
                <w:sz w:val="20"/>
                <w:szCs w:val="20"/>
              </w:rPr>
            </w:pPr>
            <w:r w:rsidRPr="00104202">
              <w:rPr>
                <w:sz w:val="20"/>
                <w:szCs w:val="20"/>
              </w:rPr>
              <w:t>22.2%</w:t>
            </w:r>
          </w:p>
        </w:tc>
        <w:tc>
          <w:tcPr>
            <w:tcW w:w="1170" w:type="dxa"/>
            <w:noWrap/>
            <w:vAlign w:val="center"/>
            <w:hideMark/>
          </w:tcPr>
          <w:p w14:paraId="1E85C1B6" w14:textId="2AA14D0F" w:rsidR="0059676D" w:rsidRPr="00104202" w:rsidRDefault="0059676D" w:rsidP="004D3B94">
            <w:pPr>
              <w:pStyle w:val="TableContent"/>
              <w:rPr>
                <w:sz w:val="20"/>
                <w:szCs w:val="20"/>
              </w:rPr>
            </w:pPr>
            <w:r w:rsidRPr="00104202">
              <w:rPr>
                <w:sz w:val="20"/>
                <w:szCs w:val="20"/>
              </w:rPr>
              <w:t>21.9%</w:t>
            </w:r>
          </w:p>
        </w:tc>
        <w:tc>
          <w:tcPr>
            <w:tcW w:w="1810" w:type="dxa"/>
            <w:noWrap/>
            <w:vAlign w:val="center"/>
            <w:hideMark/>
          </w:tcPr>
          <w:p w14:paraId="0C6523C9" w14:textId="4E640E16" w:rsidR="0059676D" w:rsidRPr="00104202" w:rsidRDefault="00182101" w:rsidP="004D3B94">
            <w:pPr>
              <w:pStyle w:val="TableContent"/>
              <w:rPr>
                <w:sz w:val="20"/>
                <w:szCs w:val="20"/>
              </w:rPr>
            </w:pPr>
            <w:r w:rsidRPr="00104202">
              <w:rPr>
                <w:sz w:val="20"/>
                <w:szCs w:val="20"/>
              </w:rPr>
              <w:t>21.0</w:t>
            </w:r>
            <w:r w:rsidR="002F27CF" w:rsidRPr="00104202">
              <w:rPr>
                <w:sz w:val="20"/>
                <w:szCs w:val="20"/>
              </w:rPr>
              <w:t>%</w:t>
            </w:r>
          </w:p>
        </w:tc>
        <w:tc>
          <w:tcPr>
            <w:tcW w:w="1620" w:type="dxa"/>
            <w:shd w:val="clear" w:color="auto" w:fill="F2F2F2" w:themeFill="background1" w:themeFillShade="F2"/>
            <w:noWrap/>
            <w:vAlign w:val="center"/>
            <w:hideMark/>
          </w:tcPr>
          <w:p w14:paraId="1F1A8022" w14:textId="6F7D50CF" w:rsidR="0059676D" w:rsidRPr="00104202" w:rsidRDefault="00182101" w:rsidP="004D3B94">
            <w:pPr>
              <w:pStyle w:val="TableContent"/>
              <w:rPr>
                <w:sz w:val="20"/>
                <w:szCs w:val="20"/>
              </w:rPr>
            </w:pPr>
            <w:r w:rsidRPr="00104202">
              <w:rPr>
                <w:sz w:val="20"/>
                <w:szCs w:val="20"/>
              </w:rPr>
              <w:t>21.6</w:t>
            </w:r>
            <w:r w:rsidR="002F27CF" w:rsidRPr="00104202">
              <w:rPr>
                <w:sz w:val="20"/>
                <w:szCs w:val="20"/>
              </w:rPr>
              <w:t>%</w:t>
            </w:r>
          </w:p>
        </w:tc>
      </w:tr>
      <w:tr w:rsidR="0059676D" w:rsidRPr="008F1FBA" w14:paraId="6C190842" w14:textId="77777777" w:rsidTr="001F3C8E">
        <w:trPr>
          <w:trHeight w:val="50"/>
          <w:jc w:val="center"/>
        </w:trPr>
        <w:tc>
          <w:tcPr>
            <w:tcW w:w="3155" w:type="dxa"/>
            <w:hideMark/>
          </w:tcPr>
          <w:p w14:paraId="5886F9BC" w14:textId="77777777" w:rsidR="0059676D" w:rsidRPr="00104202" w:rsidRDefault="0059676D" w:rsidP="004D3B94">
            <w:pPr>
              <w:pStyle w:val="TableContent"/>
              <w:rPr>
                <w:sz w:val="20"/>
                <w:szCs w:val="20"/>
              </w:rPr>
            </w:pPr>
            <w:r w:rsidRPr="00104202">
              <w:rPr>
                <w:sz w:val="20"/>
                <w:szCs w:val="20"/>
              </w:rPr>
              <w:t xml:space="preserve">Age Under 18 Below Poverty </w:t>
            </w:r>
          </w:p>
        </w:tc>
        <w:tc>
          <w:tcPr>
            <w:tcW w:w="1340" w:type="dxa"/>
            <w:vAlign w:val="center"/>
            <w:hideMark/>
          </w:tcPr>
          <w:p w14:paraId="4D277F42" w14:textId="091608ED" w:rsidR="0059676D" w:rsidRPr="00104202" w:rsidRDefault="0059676D" w:rsidP="004D3B94">
            <w:pPr>
              <w:pStyle w:val="TableContent"/>
              <w:rPr>
                <w:sz w:val="20"/>
                <w:szCs w:val="20"/>
              </w:rPr>
            </w:pPr>
            <w:r w:rsidRPr="00104202">
              <w:rPr>
                <w:sz w:val="20"/>
                <w:szCs w:val="20"/>
              </w:rPr>
              <w:t>16.3%</w:t>
            </w:r>
          </w:p>
        </w:tc>
        <w:tc>
          <w:tcPr>
            <w:tcW w:w="1170" w:type="dxa"/>
            <w:vAlign w:val="center"/>
            <w:hideMark/>
          </w:tcPr>
          <w:p w14:paraId="7F49D845" w14:textId="2D6122B9" w:rsidR="0059676D" w:rsidRPr="00104202" w:rsidRDefault="0059676D" w:rsidP="004D3B94">
            <w:pPr>
              <w:pStyle w:val="TableContent"/>
              <w:rPr>
                <w:sz w:val="20"/>
                <w:szCs w:val="20"/>
              </w:rPr>
            </w:pPr>
            <w:r w:rsidRPr="00104202">
              <w:rPr>
                <w:sz w:val="20"/>
                <w:szCs w:val="20"/>
              </w:rPr>
              <w:t>13.3%</w:t>
            </w:r>
          </w:p>
        </w:tc>
        <w:tc>
          <w:tcPr>
            <w:tcW w:w="1810" w:type="dxa"/>
            <w:shd w:val="clear" w:color="auto" w:fill="F2F2F2" w:themeFill="background1" w:themeFillShade="F2"/>
            <w:vAlign w:val="center"/>
            <w:hideMark/>
          </w:tcPr>
          <w:p w14:paraId="4EFAD257" w14:textId="3186FA37" w:rsidR="0059676D" w:rsidRPr="00104202" w:rsidRDefault="00C1326C" w:rsidP="004D3B94">
            <w:pPr>
              <w:pStyle w:val="TableContent"/>
              <w:rPr>
                <w:sz w:val="20"/>
                <w:szCs w:val="20"/>
              </w:rPr>
            </w:pPr>
            <w:r w:rsidRPr="00104202">
              <w:rPr>
                <w:sz w:val="20"/>
                <w:szCs w:val="20"/>
              </w:rPr>
              <w:t>18.3</w:t>
            </w:r>
            <w:r w:rsidR="00BD18DB" w:rsidRPr="00104202">
              <w:rPr>
                <w:sz w:val="20"/>
                <w:szCs w:val="20"/>
              </w:rPr>
              <w:t>%</w:t>
            </w:r>
          </w:p>
        </w:tc>
        <w:tc>
          <w:tcPr>
            <w:tcW w:w="1620" w:type="dxa"/>
            <w:vAlign w:val="center"/>
            <w:hideMark/>
          </w:tcPr>
          <w:p w14:paraId="07643671" w14:textId="2239E913" w:rsidR="0059676D" w:rsidRPr="00104202" w:rsidRDefault="00BD18DB" w:rsidP="004D3B94">
            <w:pPr>
              <w:pStyle w:val="TableContent"/>
              <w:rPr>
                <w:sz w:val="20"/>
                <w:szCs w:val="20"/>
              </w:rPr>
            </w:pPr>
            <w:r w:rsidRPr="00104202">
              <w:rPr>
                <w:sz w:val="20"/>
                <w:szCs w:val="20"/>
              </w:rPr>
              <w:t>11.3%</w:t>
            </w:r>
          </w:p>
        </w:tc>
      </w:tr>
      <w:tr w:rsidR="0059676D" w:rsidRPr="008F1FBA" w14:paraId="7F720E63" w14:textId="77777777" w:rsidTr="001F3C8E">
        <w:trPr>
          <w:trHeight w:val="50"/>
          <w:jc w:val="center"/>
        </w:trPr>
        <w:tc>
          <w:tcPr>
            <w:tcW w:w="3155" w:type="dxa"/>
            <w:hideMark/>
          </w:tcPr>
          <w:p w14:paraId="175EC729" w14:textId="77777777" w:rsidR="0059676D" w:rsidRPr="00104202" w:rsidRDefault="0059676D" w:rsidP="004D3B94">
            <w:pPr>
              <w:pStyle w:val="TableContent"/>
              <w:rPr>
                <w:sz w:val="20"/>
                <w:szCs w:val="20"/>
              </w:rPr>
            </w:pPr>
            <w:r w:rsidRPr="00104202">
              <w:rPr>
                <w:sz w:val="20"/>
                <w:szCs w:val="20"/>
              </w:rPr>
              <w:t>Female Ages 15-44</w:t>
            </w:r>
          </w:p>
        </w:tc>
        <w:tc>
          <w:tcPr>
            <w:tcW w:w="1340" w:type="dxa"/>
            <w:noWrap/>
            <w:vAlign w:val="center"/>
            <w:hideMark/>
          </w:tcPr>
          <w:p w14:paraId="2A0B3B0D" w14:textId="027DD6A6" w:rsidR="0059676D" w:rsidRPr="00104202" w:rsidRDefault="0059676D" w:rsidP="004D3B94">
            <w:pPr>
              <w:pStyle w:val="TableContent"/>
              <w:rPr>
                <w:sz w:val="20"/>
                <w:szCs w:val="20"/>
              </w:rPr>
            </w:pPr>
            <w:r w:rsidRPr="00104202">
              <w:rPr>
                <w:sz w:val="20"/>
                <w:szCs w:val="20"/>
              </w:rPr>
              <w:t>38.9%</w:t>
            </w:r>
          </w:p>
        </w:tc>
        <w:tc>
          <w:tcPr>
            <w:tcW w:w="1170" w:type="dxa"/>
            <w:noWrap/>
            <w:vAlign w:val="center"/>
            <w:hideMark/>
          </w:tcPr>
          <w:p w14:paraId="0BE51C52" w14:textId="30A03DB3" w:rsidR="0059676D" w:rsidRPr="00104202" w:rsidRDefault="0059676D" w:rsidP="004D3B94">
            <w:pPr>
              <w:pStyle w:val="TableContent"/>
              <w:rPr>
                <w:sz w:val="20"/>
                <w:szCs w:val="20"/>
              </w:rPr>
            </w:pPr>
            <w:r w:rsidRPr="00104202">
              <w:rPr>
                <w:sz w:val="20"/>
                <w:szCs w:val="20"/>
              </w:rPr>
              <w:t>37.2%</w:t>
            </w:r>
          </w:p>
        </w:tc>
        <w:tc>
          <w:tcPr>
            <w:tcW w:w="1810" w:type="dxa"/>
            <w:noWrap/>
            <w:vAlign w:val="center"/>
            <w:hideMark/>
          </w:tcPr>
          <w:p w14:paraId="6F7C2AE9" w14:textId="2F15BAAD" w:rsidR="0059676D" w:rsidRPr="00104202" w:rsidRDefault="00EF6E69" w:rsidP="004D3B94">
            <w:pPr>
              <w:pStyle w:val="TableContent"/>
              <w:rPr>
                <w:sz w:val="20"/>
                <w:szCs w:val="20"/>
              </w:rPr>
            </w:pPr>
            <w:r w:rsidRPr="00104202">
              <w:rPr>
                <w:sz w:val="20"/>
                <w:szCs w:val="20"/>
              </w:rPr>
              <w:t>35.1</w:t>
            </w:r>
            <w:r w:rsidR="00BD18DB" w:rsidRPr="00104202">
              <w:rPr>
                <w:sz w:val="20"/>
                <w:szCs w:val="20"/>
              </w:rPr>
              <w:t>%</w:t>
            </w:r>
          </w:p>
        </w:tc>
        <w:tc>
          <w:tcPr>
            <w:tcW w:w="1620" w:type="dxa"/>
            <w:noWrap/>
            <w:vAlign w:val="center"/>
            <w:hideMark/>
          </w:tcPr>
          <w:p w14:paraId="09872489" w14:textId="6FA74773" w:rsidR="0059676D" w:rsidRPr="00104202" w:rsidRDefault="00EF6E69" w:rsidP="004D3B94">
            <w:pPr>
              <w:pStyle w:val="TableContent"/>
              <w:rPr>
                <w:sz w:val="20"/>
                <w:szCs w:val="20"/>
              </w:rPr>
            </w:pPr>
            <w:r w:rsidRPr="00104202">
              <w:rPr>
                <w:sz w:val="20"/>
                <w:szCs w:val="20"/>
              </w:rPr>
              <w:t>33.0</w:t>
            </w:r>
            <w:r w:rsidR="00BD18DB" w:rsidRPr="00104202">
              <w:rPr>
                <w:sz w:val="20"/>
                <w:szCs w:val="20"/>
              </w:rPr>
              <w:t>%</w:t>
            </w:r>
          </w:p>
        </w:tc>
      </w:tr>
      <w:tr w:rsidR="0059676D" w:rsidRPr="008F1FBA" w14:paraId="34EBACD8" w14:textId="77777777" w:rsidTr="001F3C8E">
        <w:trPr>
          <w:trHeight w:val="233"/>
          <w:jc w:val="center"/>
        </w:trPr>
        <w:tc>
          <w:tcPr>
            <w:tcW w:w="3155" w:type="dxa"/>
          </w:tcPr>
          <w:p w14:paraId="559EDD55" w14:textId="77777777" w:rsidR="0059676D" w:rsidRPr="00104202" w:rsidRDefault="0059676D" w:rsidP="004D3B94">
            <w:pPr>
              <w:pStyle w:val="TableContent"/>
              <w:rPr>
                <w:sz w:val="20"/>
                <w:szCs w:val="20"/>
              </w:rPr>
            </w:pPr>
            <w:proofErr w:type="gramStart"/>
            <w:r w:rsidRPr="00104202">
              <w:rPr>
                <w:sz w:val="20"/>
                <w:szCs w:val="20"/>
              </w:rPr>
              <w:t>Persons</w:t>
            </w:r>
            <w:proofErr w:type="gramEnd"/>
            <w:r w:rsidRPr="00104202">
              <w:rPr>
                <w:sz w:val="20"/>
                <w:szCs w:val="20"/>
              </w:rPr>
              <w:t xml:space="preserve"> with Disability </w:t>
            </w:r>
          </w:p>
        </w:tc>
        <w:tc>
          <w:tcPr>
            <w:tcW w:w="1340" w:type="dxa"/>
            <w:noWrap/>
            <w:vAlign w:val="center"/>
          </w:tcPr>
          <w:p w14:paraId="4A9DD8F9" w14:textId="0E6BD9FE" w:rsidR="0059676D" w:rsidRPr="00104202" w:rsidRDefault="0059676D" w:rsidP="004D3B94">
            <w:pPr>
              <w:pStyle w:val="TableContent"/>
              <w:rPr>
                <w:sz w:val="20"/>
                <w:szCs w:val="20"/>
              </w:rPr>
            </w:pPr>
            <w:r w:rsidRPr="00104202">
              <w:rPr>
                <w:sz w:val="20"/>
                <w:szCs w:val="20"/>
              </w:rPr>
              <w:t>13.0%</w:t>
            </w:r>
          </w:p>
        </w:tc>
        <w:tc>
          <w:tcPr>
            <w:tcW w:w="1170" w:type="dxa"/>
            <w:noWrap/>
            <w:vAlign w:val="center"/>
          </w:tcPr>
          <w:p w14:paraId="2499B328" w14:textId="5A96A736" w:rsidR="0059676D" w:rsidRPr="00104202" w:rsidRDefault="0059676D" w:rsidP="004D3B94">
            <w:pPr>
              <w:pStyle w:val="TableContent"/>
              <w:rPr>
                <w:sz w:val="20"/>
                <w:szCs w:val="20"/>
              </w:rPr>
            </w:pPr>
            <w:r w:rsidRPr="00104202">
              <w:rPr>
                <w:sz w:val="20"/>
                <w:szCs w:val="20"/>
              </w:rPr>
              <w:t>10.6%</w:t>
            </w:r>
          </w:p>
        </w:tc>
        <w:tc>
          <w:tcPr>
            <w:tcW w:w="1810" w:type="dxa"/>
            <w:shd w:val="clear" w:color="auto" w:fill="F2F2F2" w:themeFill="background1" w:themeFillShade="F2"/>
            <w:noWrap/>
            <w:vAlign w:val="center"/>
          </w:tcPr>
          <w:p w14:paraId="377AD22F" w14:textId="7F6D075A" w:rsidR="0059676D" w:rsidRPr="00104202" w:rsidRDefault="00855660" w:rsidP="004D3B94">
            <w:pPr>
              <w:pStyle w:val="TableContent"/>
              <w:rPr>
                <w:sz w:val="20"/>
                <w:szCs w:val="20"/>
              </w:rPr>
            </w:pPr>
            <w:r w:rsidRPr="00104202">
              <w:rPr>
                <w:sz w:val="20"/>
                <w:szCs w:val="20"/>
              </w:rPr>
              <w:t>14.0</w:t>
            </w:r>
            <w:r w:rsidR="00BD18DB" w:rsidRPr="00104202">
              <w:rPr>
                <w:sz w:val="20"/>
                <w:szCs w:val="20"/>
              </w:rPr>
              <w:t>%</w:t>
            </w:r>
          </w:p>
        </w:tc>
        <w:tc>
          <w:tcPr>
            <w:tcW w:w="1620" w:type="dxa"/>
            <w:shd w:val="clear" w:color="auto" w:fill="F2F2F2" w:themeFill="background1" w:themeFillShade="F2"/>
            <w:noWrap/>
            <w:vAlign w:val="center"/>
          </w:tcPr>
          <w:p w14:paraId="7DDE27F1" w14:textId="14BFFC36" w:rsidR="0059676D" w:rsidRPr="00104202" w:rsidRDefault="00855660" w:rsidP="004D3B94">
            <w:pPr>
              <w:pStyle w:val="TableContent"/>
              <w:rPr>
                <w:sz w:val="20"/>
                <w:szCs w:val="20"/>
              </w:rPr>
            </w:pPr>
            <w:r w:rsidRPr="00104202">
              <w:rPr>
                <w:sz w:val="20"/>
                <w:szCs w:val="20"/>
              </w:rPr>
              <w:t>17.8</w:t>
            </w:r>
            <w:r w:rsidR="00BD18DB" w:rsidRPr="00104202">
              <w:rPr>
                <w:sz w:val="20"/>
                <w:szCs w:val="20"/>
              </w:rPr>
              <w:t>%</w:t>
            </w:r>
          </w:p>
        </w:tc>
      </w:tr>
    </w:tbl>
    <w:p w14:paraId="2092AB8B" w14:textId="3DCB8058" w:rsidR="009B22E1" w:rsidRPr="001F3C8E" w:rsidRDefault="32D01E25" w:rsidP="009D57AE">
      <w:pPr>
        <w:pStyle w:val="TableNotes"/>
        <w:rPr>
          <w:sz w:val="24"/>
          <w:szCs w:val="24"/>
        </w:rPr>
      </w:pPr>
      <w:r w:rsidRPr="001F3C8E">
        <w:rPr>
          <w:b/>
          <w:sz w:val="24"/>
          <w:szCs w:val="24"/>
        </w:rPr>
        <w:t xml:space="preserve">Notes: </w:t>
      </w:r>
      <w:r w:rsidRPr="001F3C8E">
        <w:rPr>
          <w:sz w:val="24"/>
          <w:szCs w:val="24"/>
        </w:rPr>
        <w:t>Shading indicates higher sensitive populations in the target area compared to county, state, or US. Data Source: U.S. Census 202</w:t>
      </w:r>
      <w:r w:rsidR="30318B0F" w:rsidRPr="001F3C8E">
        <w:rPr>
          <w:sz w:val="24"/>
          <w:szCs w:val="24"/>
        </w:rPr>
        <w:t>3</w:t>
      </w:r>
      <w:r w:rsidRPr="001F3C8E">
        <w:rPr>
          <w:sz w:val="24"/>
          <w:szCs w:val="24"/>
        </w:rPr>
        <w:t xml:space="preserve"> American Community survey 5-year estimates (201</w:t>
      </w:r>
      <w:r w:rsidR="531CD34B" w:rsidRPr="001F3C8E">
        <w:rPr>
          <w:sz w:val="24"/>
          <w:szCs w:val="24"/>
        </w:rPr>
        <w:t>9</w:t>
      </w:r>
      <w:r w:rsidRPr="001F3C8E">
        <w:rPr>
          <w:sz w:val="24"/>
          <w:szCs w:val="24"/>
        </w:rPr>
        <w:t>-202</w:t>
      </w:r>
      <w:r w:rsidR="6AE0B5C2" w:rsidRPr="001F3C8E">
        <w:rPr>
          <w:sz w:val="24"/>
          <w:szCs w:val="24"/>
        </w:rPr>
        <w:t>3</w:t>
      </w:r>
      <w:r w:rsidRPr="001F3C8E">
        <w:rPr>
          <w:sz w:val="24"/>
          <w:szCs w:val="24"/>
        </w:rPr>
        <w:t>)</w:t>
      </w:r>
    </w:p>
    <w:p w14:paraId="162CC108" w14:textId="5268D770" w:rsidR="00580EFE" w:rsidRPr="001F3C8E" w:rsidRDefault="00580EFE" w:rsidP="001F3C8E">
      <w:pPr>
        <w:rPr>
          <w:i/>
          <w:iCs/>
        </w:rPr>
      </w:pPr>
      <w:r w:rsidRPr="001F3C8E">
        <w:rPr>
          <w:b/>
          <w:bCs/>
        </w:rPr>
        <w:lastRenderedPageBreak/>
        <w:t xml:space="preserve">The median age of residents is 46.2 years, reflecting an older population than state and national averages. Sensitive populations include children (21.6%), seniors (15.5%), and </w:t>
      </w:r>
      <w:proofErr w:type="gramStart"/>
      <w:r w:rsidRPr="001F3C8E">
        <w:rPr>
          <w:b/>
          <w:bCs/>
        </w:rPr>
        <w:t>persons</w:t>
      </w:r>
      <w:proofErr w:type="gramEnd"/>
      <w:r w:rsidRPr="001F3C8E">
        <w:rPr>
          <w:b/>
          <w:bCs/>
        </w:rPr>
        <w:t xml:space="preserve"> with disabilities (17.8%</w:t>
      </w:r>
      <w:r w:rsidRPr="001F3C8E">
        <w:t xml:space="preserve">), all of whom face heightened vulnerability to environmental hazards. While the median household income is $91,875, 7.3% of residents live below the poverty line, including 11% of children and 9% of seniors. The unemployment rate is approximately 3.8%, but </w:t>
      </w:r>
      <w:r w:rsidR="0032755F" w:rsidRPr="001F3C8E">
        <w:t>Mullica</w:t>
      </w:r>
      <w:r w:rsidRPr="001F3C8E">
        <w:t>’s small tax base and limited municipal resources constrain its ability to fund complex cleanups without federal and/or state agency assistance.</w:t>
      </w:r>
      <w:r w:rsidR="00390B94" w:rsidRPr="001F3C8E">
        <w:t xml:space="preserve"> An increase in tax revenue generated by </w:t>
      </w:r>
      <w:r w:rsidR="00FD149E" w:rsidRPr="001F3C8E">
        <w:t>post-cleanup</w:t>
      </w:r>
      <w:r w:rsidR="00390B94" w:rsidRPr="001F3C8E">
        <w:t xml:space="preserve"> reuse of the Site could result in</w:t>
      </w:r>
      <w:r w:rsidR="00A53B35" w:rsidRPr="001F3C8E">
        <w:t xml:space="preserve"> job creation and population increase</w:t>
      </w:r>
      <w:r w:rsidR="00FD149E" w:rsidRPr="001F3C8E">
        <w:t>,</w:t>
      </w:r>
      <w:r w:rsidR="00A53B35" w:rsidRPr="001F3C8E">
        <w:t xml:space="preserve"> which would further increase the tax base and make more funds available for future redevelopment in Mullica.</w:t>
      </w:r>
    </w:p>
    <w:p w14:paraId="5325F16A" w14:textId="42826A73" w:rsidR="00496E25" w:rsidRPr="001F3C8E" w:rsidRDefault="00D94EDC" w:rsidP="001F3C8E">
      <w:pPr>
        <w:rPr>
          <w:i/>
          <w:iCs/>
        </w:rPr>
      </w:pPr>
      <w:r w:rsidRPr="001F3C8E">
        <w:rPr>
          <w:b/>
          <w:bCs/>
        </w:rPr>
        <w:t>M</w:t>
      </w:r>
      <w:r w:rsidR="00496E25" w:rsidRPr="001F3C8E">
        <w:rPr>
          <w:b/>
          <w:bCs/>
        </w:rPr>
        <w:t>ullica relies entirely on the shallow Kirkwood</w:t>
      </w:r>
      <w:r w:rsidR="00496E25" w:rsidRPr="001F3C8E">
        <w:rPr>
          <w:rFonts w:ascii="Cambria Math" w:hAnsi="Cambria Math" w:cs="Cambria Math"/>
          <w:b/>
          <w:bCs/>
        </w:rPr>
        <w:t>‑</w:t>
      </w:r>
      <w:proofErr w:type="spellStart"/>
      <w:r w:rsidR="00496E25" w:rsidRPr="001F3C8E">
        <w:rPr>
          <w:b/>
          <w:bCs/>
        </w:rPr>
        <w:t>Cohansey</w:t>
      </w:r>
      <w:proofErr w:type="spellEnd"/>
      <w:r w:rsidR="00496E25" w:rsidRPr="001F3C8E">
        <w:rPr>
          <w:b/>
          <w:bCs/>
        </w:rPr>
        <w:t xml:space="preserve"> surficial aquifer</w:t>
      </w:r>
      <w:r w:rsidR="00695268" w:rsidRPr="001F3C8E">
        <w:rPr>
          <w:b/>
          <w:bCs/>
        </w:rPr>
        <w:t>,</w:t>
      </w:r>
      <w:r w:rsidR="00496E25" w:rsidRPr="001F3C8E">
        <w:rPr>
          <w:b/>
          <w:bCs/>
        </w:rPr>
        <w:t xml:space="preserve"> located only a few feet below ground surface in some areas</w:t>
      </w:r>
      <w:r w:rsidR="00695268" w:rsidRPr="001F3C8E">
        <w:rPr>
          <w:b/>
          <w:bCs/>
        </w:rPr>
        <w:t>,</w:t>
      </w:r>
      <w:r w:rsidR="00496E25" w:rsidRPr="001F3C8E">
        <w:rPr>
          <w:b/>
          <w:bCs/>
        </w:rPr>
        <w:t xml:space="preserve"> for supplying 100% of household drinking water for residents</w:t>
      </w:r>
      <w:r w:rsidR="00496E25" w:rsidRPr="001F3C8E">
        <w:t xml:space="preserve">. </w:t>
      </w:r>
      <w:r w:rsidR="004368BF" w:rsidRPr="001F3C8E">
        <w:t xml:space="preserve">As such, </w:t>
      </w:r>
      <w:r w:rsidR="007F277F" w:rsidRPr="001F3C8E">
        <w:t>this reliance on</w:t>
      </w:r>
      <w:r w:rsidR="00325426" w:rsidRPr="001F3C8E">
        <w:t xml:space="preserve"> private wells and the</w:t>
      </w:r>
      <w:r w:rsidR="004368BF" w:rsidRPr="001F3C8E">
        <w:t xml:space="preserve"> presence of any contamination within the </w:t>
      </w:r>
      <w:r w:rsidR="007F277F" w:rsidRPr="001F3C8E">
        <w:t xml:space="preserve">aquifer </w:t>
      </w:r>
      <w:proofErr w:type="gramStart"/>
      <w:r w:rsidR="007F277F" w:rsidRPr="001F3C8E">
        <w:t>pose</w:t>
      </w:r>
      <w:proofErr w:type="gramEnd"/>
      <w:r w:rsidR="007F277F" w:rsidRPr="001F3C8E">
        <w:t xml:space="preserve"> a</w:t>
      </w:r>
      <w:r w:rsidR="00325426" w:rsidRPr="001F3C8E">
        <w:t xml:space="preserve"> </w:t>
      </w:r>
      <w:r w:rsidR="00C50323" w:rsidRPr="001F3C8E">
        <w:t>major</w:t>
      </w:r>
      <w:r w:rsidR="007F277F" w:rsidRPr="001F3C8E">
        <w:t xml:space="preserve"> risk to s</w:t>
      </w:r>
      <w:r w:rsidR="00496E25" w:rsidRPr="001F3C8E">
        <w:t>ensitive populations such as children, seniors, and residents with disabilities</w:t>
      </w:r>
      <w:r w:rsidR="006F5B2E" w:rsidRPr="001F3C8E">
        <w:t xml:space="preserve"> and potentially contributes to a greater than normal incidence of disease and adverse health conditions (see 2.c.) although no causal </w:t>
      </w:r>
      <w:r w:rsidR="00912548" w:rsidRPr="001F3C8E">
        <w:t>link has been</w:t>
      </w:r>
      <w:r w:rsidR="002E6085" w:rsidRPr="001F3C8E">
        <w:t xml:space="preserve"> studied and/or</w:t>
      </w:r>
      <w:r w:rsidR="00912548" w:rsidRPr="001F3C8E">
        <w:t xml:space="preserve"> confirmed</w:t>
      </w:r>
      <w:r w:rsidR="002E6085" w:rsidRPr="001F3C8E">
        <w:t xml:space="preserve"> at this time</w:t>
      </w:r>
      <w:r w:rsidR="00496E25" w:rsidRPr="001F3C8E">
        <w:t xml:space="preserve">. </w:t>
      </w:r>
    </w:p>
    <w:p w14:paraId="4197E9FC" w14:textId="0A2F9734" w:rsidR="003071BF" w:rsidRPr="001F3C8E" w:rsidRDefault="00F01534" w:rsidP="00F4056D">
      <w:pPr>
        <w:pStyle w:val="Heading3"/>
      </w:pPr>
      <w:r w:rsidRPr="001F3C8E">
        <w:t>2.</w:t>
      </w:r>
      <w:r w:rsidR="00166393" w:rsidRPr="001F3C8E">
        <w:t>c.</w:t>
      </w:r>
      <w:r w:rsidR="00865F23" w:rsidRPr="001F3C8E">
        <w:t xml:space="preserve"> </w:t>
      </w:r>
      <w:r w:rsidR="003071BF" w:rsidRPr="001F3C8E">
        <w:t>Greater Than Normal Incidence of Disease and Adverse Health Conditions</w:t>
      </w:r>
    </w:p>
    <w:p w14:paraId="3A46EAD7" w14:textId="5C3794B0" w:rsidR="001B7050" w:rsidRPr="001F3C8E" w:rsidRDefault="001B7050" w:rsidP="001B7050">
      <w:pPr>
        <w:pStyle w:val="TableTitle"/>
        <w:rPr>
          <w:szCs w:val="20"/>
        </w:rPr>
      </w:pPr>
      <w:r w:rsidRPr="001F3C8E">
        <w:rPr>
          <w:szCs w:val="20"/>
        </w:rPr>
        <w:t xml:space="preserve">Table </w:t>
      </w:r>
      <w:r w:rsidR="00615BBE" w:rsidRPr="001F3C8E">
        <w:rPr>
          <w:szCs w:val="20"/>
        </w:rPr>
        <w:t>4</w:t>
      </w:r>
      <w:r w:rsidRPr="001F3C8E">
        <w:rPr>
          <w:szCs w:val="20"/>
        </w:rPr>
        <w:t>. Inequitable Health Burdens</w:t>
      </w:r>
    </w:p>
    <w:tbl>
      <w:tblPr>
        <w:tblStyle w:val="TableGridLight"/>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1023"/>
        <w:gridCol w:w="978"/>
        <w:gridCol w:w="1350"/>
        <w:gridCol w:w="2175"/>
      </w:tblGrid>
      <w:tr w:rsidR="001B7050" w:rsidRPr="008F1FBA" w14:paraId="7EEA0D28" w14:textId="77777777" w:rsidTr="001F3C8E">
        <w:trPr>
          <w:trHeight w:val="343"/>
          <w:tblHeader/>
          <w:jc w:val="center"/>
        </w:trPr>
        <w:tc>
          <w:tcPr>
            <w:tcW w:w="4564" w:type="dxa"/>
            <w:shd w:val="clear" w:color="auto" w:fill="DFDCDA" w:themeFill="text1" w:themeFillTint="33"/>
            <w:vAlign w:val="center"/>
          </w:tcPr>
          <w:p w14:paraId="4DAC0555" w14:textId="77777777" w:rsidR="001B7050" w:rsidRPr="00104202" w:rsidRDefault="001B7050" w:rsidP="004D3B94">
            <w:pPr>
              <w:pStyle w:val="TableColumnHeading"/>
              <w:spacing w:before="0" w:after="0"/>
              <w:rPr>
                <w:sz w:val="20"/>
                <w:szCs w:val="20"/>
              </w:rPr>
            </w:pPr>
            <w:r w:rsidRPr="00104202">
              <w:rPr>
                <w:sz w:val="20"/>
                <w:szCs w:val="20"/>
              </w:rPr>
              <w:t>Health Measure</w:t>
            </w:r>
          </w:p>
        </w:tc>
        <w:tc>
          <w:tcPr>
            <w:tcW w:w="1023" w:type="dxa"/>
            <w:shd w:val="clear" w:color="auto" w:fill="DFDCDA" w:themeFill="text1" w:themeFillTint="33"/>
            <w:vAlign w:val="center"/>
          </w:tcPr>
          <w:p w14:paraId="5B5575CE" w14:textId="5B500AE3" w:rsidR="001B7050" w:rsidRPr="00104202" w:rsidRDefault="001B7050" w:rsidP="004D3B94">
            <w:pPr>
              <w:pStyle w:val="TableColumnHeading"/>
              <w:spacing w:before="0" w:after="0"/>
              <w:rPr>
                <w:sz w:val="20"/>
                <w:szCs w:val="20"/>
              </w:rPr>
            </w:pPr>
            <w:r w:rsidRPr="00104202">
              <w:rPr>
                <w:sz w:val="20"/>
                <w:szCs w:val="20"/>
              </w:rPr>
              <w:t xml:space="preserve">Mullica </w:t>
            </w:r>
          </w:p>
        </w:tc>
        <w:tc>
          <w:tcPr>
            <w:tcW w:w="978" w:type="dxa"/>
            <w:shd w:val="clear" w:color="auto" w:fill="DFDCDA" w:themeFill="text1" w:themeFillTint="33"/>
            <w:vAlign w:val="center"/>
          </w:tcPr>
          <w:p w14:paraId="78953733" w14:textId="28BE9656" w:rsidR="001B7050" w:rsidRPr="00104202" w:rsidRDefault="001B7050" w:rsidP="004D3B94">
            <w:pPr>
              <w:pStyle w:val="TableColumnHeading"/>
              <w:spacing w:before="0" w:after="0"/>
              <w:rPr>
                <w:sz w:val="20"/>
                <w:szCs w:val="20"/>
              </w:rPr>
            </w:pPr>
            <w:r w:rsidRPr="00104202">
              <w:rPr>
                <w:sz w:val="20"/>
                <w:szCs w:val="20"/>
              </w:rPr>
              <w:t>County</w:t>
            </w:r>
          </w:p>
        </w:tc>
        <w:tc>
          <w:tcPr>
            <w:tcW w:w="1350" w:type="dxa"/>
            <w:shd w:val="clear" w:color="auto" w:fill="DFDCDA" w:themeFill="text1" w:themeFillTint="33"/>
            <w:vAlign w:val="center"/>
          </w:tcPr>
          <w:p w14:paraId="0F7397CA" w14:textId="77777777" w:rsidR="001B7050" w:rsidRPr="00104202" w:rsidRDefault="001B7050" w:rsidP="004D3B94">
            <w:pPr>
              <w:pStyle w:val="TableColumnHeading"/>
              <w:spacing w:before="0" w:after="0"/>
              <w:rPr>
                <w:sz w:val="20"/>
                <w:szCs w:val="20"/>
              </w:rPr>
            </w:pPr>
            <w:r w:rsidRPr="00104202">
              <w:rPr>
                <w:sz w:val="20"/>
                <w:szCs w:val="20"/>
              </w:rPr>
              <w:t>United States</w:t>
            </w:r>
          </w:p>
        </w:tc>
        <w:tc>
          <w:tcPr>
            <w:tcW w:w="2175" w:type="dxa"/>
            <w:shd w:val="clear" w:color="auto" w:fill="DFDCDA" w:themeFill="text1" w:themeFillTint="33"/>
            <w:vAlign w:val="center"/>
          </w:tcPr>
          <w:p w14:paraId="6092E863" w14:textId="13343411" w:rsidR="001B7050" w:rsidRPr="00104202" w:rsidRDefault="001B7050" w:rsidP="004D3B94">
            <w:pPr>
              <w:pStyle w:val="TableColumnHeading"/>
              <w:spacing w:before="0" w:after="0"/>
              <w:rPr>
                <w:sz w:val="20"/>
                <w:szCs w:val="20"/>
              </w:rPr>
            </w:pPr>
            <w:r w:rsidRPr="00104202">
              <w:rPr>
                <w:sz w:val="20"/>
                <w:szCs w:val="20"/>
              </w:rPr>
              <w:t>% Difference versus US</w:t>
            </w:r>
          </w:p>
        </w:tc>
      </w:tr>
      <w:tr w:rsidR="001B7050" w:rsidRPr="008F1FBA" w14:paraId="3B14B0AA" w14:textId="77777777" w:rsidTr="001F3C8E">
        <w:trPr>
          <w:trHeight w:val="161"/>
          <w:jc w:val="center"/>
        </w:trPr>
        <w:tc>
          <w:tcPr>
            <w:tcW w:w="4564" w:type="dxa"/>
            <w:vAlign w:val="center"/>
          </w:tcPr>
          <w:p w14:paraId="64911687" w14:textId="2CB0F59A" w:rsidR="001B7050" w:rsidRPr="00104202" w:rsidRDefault="001B7050" w:rsidP="001F3C8E">
            <w:pPr>
              <w:pStyle w:val="TableContent"/>
              <w:jc w:val="left"/>
              <w:rPr>
                <w:sz w:val="20"/>
                <w:szCs w:val="20"/>
              </w:rPr>
            </w:pPr>
            <w:r w:rsidRPr="00104202">
              <w:rPr>
                <w:sz w:val="20"/>
                <w:szCs w:val="20"/>
              </w:rPr>
              <w:t>Cancer (non-skin) among adults (crude prevalence %)</w:t>
            </w:r>
          </w:p>
        </w:tc>
        <w:tc>
          <w:tcPr>
            <w:tcW w:w="1023" w:type="dxa"/>
            <w:vAlign w:val="center"/>
          </w:tcPr>
          <w:p w14:paraId="2D1A2C5C" w14:textId="77777777" w:rsidR="001B7050" w:rsidRPr="00104202" w:rsidRDefault="001B7050" w:rsidP="004D3B94">
            <w:pPr>
              <w:pStyle w:val="TableContent"/>
              <w:rPr>
                <w:sz w:val="20"/>
                <w:szCs w:val="20"/>
              </w:rPr>
            </w:pPr>
            <w:r w:rsidRPr="00104202">
              <w:rPr>
                <w:sz w:val="20"/>
                <w:szCs w:val="20"/>
              </w:rPr>
              <w:t>9.3%</w:t>
            </w:r>
          </w:p>
        </w:tc>
        <w:tc>
          <w:tcPr>
            <w:tcW w:w="978" w:type="dxa"/>
            <w:vAlign w:val="center"/>
          </w:tcPr>
          <w:p w14:paraId="60248DCD" w14:textId="77777777" w:rsidR="001B7050" w:rsidRPr="00104202" w:rsidRDefault="001B7050" w:rsidP="004D3B94">
            <w:pPr>
              <w:pStyle w:val="TableContent"/>
              <w:rPr>
                <w:sz w:val="20"/>
                <w:szCs w:val="20"/>
              </w:rPr>
            </w:pPr>
            <w:r w:rsidRPr="00104202">
              <w:rPr>
                <w:sz w:val="20"/>
                <w:szCs w:val="20"/>
              </w:rPr>
              <w:t>8.3%</w:t>
            </w:r>
          </w:p>
        </w:tc>
        <w:tc>
          <w:tcPr>
            <w:tcW w:w="1350" w:type="dxa"/>
            <w:vAlign w:val="center"/>
          </w:tcPr>
          <w:p w14:paraId="7560DD24" w14:textId="77777777" w:rsidR="001B7050" w:rsidRPr="00104202" w:rsidRDefault="001B7050" w:rsidP="004D3B94">
            <w:pPr>
              <w:pStyle w:val="TableContent"/>
              <w:rPr>
                <w:sz w:val="20"/>
                <w:szCs w:val="20"/>
              </w:rPr>
            </w:pPr>
            <w:r w:rsidRPr="00104202">
              <w:rPr>
                <w:sz w:val="20"/>
                <w:szCs w:val="20"/>
              </w:rPr>
              <w:t>8.2%</w:t>
            </w:r>
          </w:p>
        </w:tc>
        <w:tc>
          <w:tcPr>
            <w:tcW w:w="2175" w:type="dxa"/>
            <w:vAlign w:val="center"/>
          </w:tcPr>
          <w:p w14:paraId="2010AEF5" w14:textId="68CB1B27" w:rsidR="001B7050" w:rsidRPr="00104202" w:rsidRDefault="00830A3D" w:rsidP="004D3B94">
            <w:pPr>
              <w:pStyle w:val="TableContent"/>
              <w:rPr>
                <w:sz w:val="20"/>
                <w:szCs w:val="20"/>
              </w:rPr>
            </w:pPr>
            <w:r w:rsidRPr="00104202">
              <w:rPr>
                <w:sz w:val="20"/>
                <w:szCs w:val="20"/>
              </w:rPr>
              <w:t>+</w:t>
            </w:r>
            <w:r w:rsidR="001B7050" w:rsidRPr="00104202">
              <w:rPr>
                <w:sz w:val="20"/>
                <w:szCs w:val="20"/>
              </w:rPr>
              <w:t>13%</w:t>
            </w:r>
          </w:p>
        </w:tc>
      </w:tr>
      <w:tr w:rsidR="001B7050" w:rsidRPr="008F1FBA" w14:paraId="44279DC7" w14:textId="77777777" w:rsidTr="001F3C8E">
        <w:trPr>
          <w:trHeight w:val="89"/>
          <w:jc w:val="center"/>
        </w:trPr>
        <w:tc>
          <w:tcPr>
            <w:tcW w:w="4564" w:type="dxa"/>
            <w:vAlign w:val="center"/>
          </w:tcPr>
          <w:p w14:paraId="21AFB4D5" w14:textId="371DEF34" w:rsidR="001B7050" w:rsidRPr="00104202" w:rsidRDefault="001B7050" w:rsidP="001F3C8E">
            <w:pPr>
              <w:pStyle w:val="TableContent"/>
              <w:jc w:val="left"/>
              <w:rPr>
                <w:sz w:val="20"/>
                <w:szCs w:val="20"/>
              </w:rPr>
            </w:pPr>
            <w:r w:rsidRPr="00104202">
              <w:rPr>
                <w:sz w:val="20"/>
                <w:szCs w:val="20"/>
              </w:rPr>
              <w:t>Asthma among adults (crude prevalence %)</w:t>
            </w:r>
          </w:p>
        </w:tc>
        <w:tc>
          <w:tcPr>
            <w:tcW w:w="1023" w:type="dxa"/>
            <w:vAlign w:val="center"/>
          </w:tcPr>
          <w:p w14:paraId="6CB921CC" w14:textId="77777777" w:rsidR="001B7050" w:rsidRPr="00104202" w:rsidRDefault="001B7050" w:rsidP="004D3B94">
            <w:pPr>
              <w:pStyle w:val="TableContent"/>
              <w:rPr>
                <w:sz w:val="20"/>
                <w:szCs w:val="20"/>
              </w:rPr>
            </w:pPr>
            <w:r w:rsidRPr="00104202">
              <w:rPr>
                <w:sz w:val="20"/>
                <w:szCs w:val="20"/>
              </w:rPr>
              <w:t>10.5%</w:t>
            </w:r>
          </w:p>
        </w:tc>
        <w:tc>
          <w:tcPr>
            <w:tcW w:w="978" w:type="dxa"/>
            <w:vAlign w:val="center"/>
          </w:tcPr>
          <w:p w14:paraId="155287D2" w14:textId="77777777" w:rsidR="001B7050" w:rsidRPr="00104202" w:rsidRDefault="001B7050" w:rsidP="004D3B94">
            <w:pPr>
              <w:pStyle w:val="TableContent"/>
              <w:rPr>
                <w:sz w:val="20"/>
                <w:szCs w:val="20"/>
              </w:rPr>
            </w:pPr>
            <w:r w:rsidRPr="00104202">
              <w:rPr>
                <w:sz w:val="20"/>
                <w:szCs w:val="20"/>
              </w:rPr>
              <w:t>9.9%</w:t>
            </w:r>
          </w:p>
        </w:tc>
        <w:tc>
          <w:tcPr>
            <w:tcW w:w="1350" w:type="dxa"/>
            <w:vAlign w:val="center"/>
          </w:tcPr>
          <w:p w14:paraId="1A314EBF" w14:textId="77777777" w:rsidR="001B7050" w:rsidRPr="00104202" w:rsidRDefault="001B7050" w:rsidP="004D3B94">
            <w:pPr>
              <w:pStyle w:val="TableContent"/>
              <w:rPr>
                <w:sz w:val="20"/>
                <w:szCs w:val="20"/>
              </w:rPr>
            </w:pPr>
            <w:r w:rsidRPr="00104202">
              <w:rPr>
                <w:sz w:val="20"/>
                <w:szCs w:val="20"/>
              </w:rPr>
              <w:t>9.9%</w:t>
            </w:r>
          </w:p>
        </w:tc>
        <w:tc>
          <w:tcPr>
            <w:tcW w:w="2175" w:type="dxa"/>
            <w:vAlign w:val="center"/>
          </w:tcPr>
          <w:p w14:paraId="70A6A57D" w14:textId="40E47279" w:rsidR="001B7050" w:rsidRPr="00104202" w:rsidRDefault="00B63D6A" w:rsidP="004D3B94">
            <w:pPr>
              <w:pStyle w:val="TableContent"/>
              <w:rPr>
                <w:sz w:val="20"/>
                <w:szCs w:val="20"/>
              </w:rPr>
            </w:pPr>
            <w:r w:rsidRPr="00104202">
              <w:rPr>
                <w:sz w:val="20"/>
                <w:szCs w:val="20"/>
              </w:rPr>
              <w:t>+</w:t>
            </w:r>
            <w:r w:rsidR="001B7050" w:rsidRPr="00104202">
              <w:rPr>
                <w:sz w:val="20"/>
                <w:szCs w:val="20"/>
              </w:rPr>
              <w:t>6%</w:t>
            </w:r>
          </w:p>
        </w:tc>
      </w:tr>
      <w:tr w:rsidR="001B7050" w:rsidRPr="008F1FBA" w14:paraId="0FEACAAB" w14:textId="77777777" w:rsidTr="001F3C8E">
        <w:trPr>
          <w:trHeight w:val="70"/>
          <w:jc w:val="center"/>
        </w:trPr>
        <w:tc>
          <w:tcPr>
            <w:tcW w:w="4564" w:type="dxa"/>
            <w:vAlign w:val="center"/>
          </w:tcPr>
          <w:p w14:paraId="331AF6AA" w14:textId="664473B9" w:rsidR="001B7050" w:rsidRPr="00104202" w:rsidRDefault="001B7050" w:rsidP="001F3C8E">
            <w:pPr>
              <w:pStyle w:val="TableContent"/>
              <w:jc w:val="left"/>
              <w:rPr>
                <w:sz w:val="20"/>
                <w:szCs w:val="20"/>
              </w:rPr>
            </w:pPr>
            <w:r w:rsidRPr="00104202">
              <w:rPr>
                <w:sz w:val="20"/>
                <w:szCs w:val="20"/>
              </w:rPr>
              <w:t>Heart Disease among adults (crude prevalence %)</w:t>
            </w:r>
          </w:p>
        </w:tc>
        <w:tc>
          <w:tcPr>
            <w:tcW w:w="1023" w:type="dxa"/>
            <w:vAlign w:val="center"/>
          </w:tcPr>
          <w:p w14:paraId="2C75A469" w14:textId="77777777" w:rsidR="001B7050" w:rsidRPr="00104202" w:rsidRDefault="001B7050" w:rsidP="004D3B94">
            <w:pPr>
              <w:pStyle w:val="TableContent"/>
              <w:rPr>
                <w:sz w:val="20"/>
                <w:szCs w:val="20"/>
              </w:rPr>
            </w:pPr>
            <w:r w:rsidRPr="00104202">
              <w:rPr>
                <w:sz w:val="20"/>
                <w:szCs w:val="20"/>
              </w:rPr>
              <w:t>7.8%</w:t>
            </w:r>
          </w:p>
        </w:tc>
        <w:tc>
          <w:tcPr>
            <w:tcW w:w="978" w:type="dxa"/>
            <w:vAlign w:val="center"/>
          </w:tcPr>
          <w:p w14:paraId="38312304" w14:textId="77777777" w:rsidR="001B7050" w:rsidRPr="00104202" w:rsidRDefault="001B7050" w:rsidP="004D3B94">
            <w:pPr>
              <w:pStyle w:val="TableContent"/>
              <w:rPr>
                <w:sz w:val="20"/>
                <w:szCs w:val="20"/>
              </w:rPr>
            </w:pPr>
            <w:r w:rsidRPr="00104202">
              <w:rPr>
                <w:sz w:val="20"/>
                <w:szCs w:val="20"/>
              </w:rPr>
              <w:t>7.3%</w:t>
            </w:r>
          </w:p>
        </w:tc>
        <w:tc>
          <w:tcPr>
            <w:tcW w:w="1350" w:type="dxa"/>
            <w:vAlign w:val="center"/>
          </w:tcPr>
          <w:p w14:paraId="5019263F" w14:textId="77777777" w:rsidR="001B7050" w:rsidRPr="00104202" w:rsidRDefault="001B7050" w:rsidP="004D3B94">
            <w:pPr>
              <w:pStyle w:val="TableContent"/>
              <w:rPr>
                <w:sz w:val="20"/>
                <w:szCs w:val="20"/>
              </w:rPr>
            </w:pPr>
            <w:r w:rsidRPr="00104202">
              <w:rPr>
                <w:sz w:val="20"/>
                <w:szCs w:val="20"/>
              </w:rPr>
              <w:t>6.8%</w:t>
            </w:r>
          </w:p>
        </w:tc>
        <w:tc>
          <w:tcPr>
            <w:tcW w:w="2175" w:type="dxa"/>
            <w:vAlign w:val="center"/>
          </w:tcPr>
          <w:p w14:paraId="6FDD17E6" w14:textId="4BBE8EA7" w:rsidR="001B7050" w:rsidRPr="00104202" w:rsidRDefault="00B63D6A" w:rsidP="004D3B94">
            <w:pPr>
              <w:pStyle w:val="TableContent"/>
              <w:rPr>
                <w:sz w:val="20"/>
                <w:szCs w:val="20"/>
              </w:rPr>
            </w:pPr>
            <w:r w:rsidRPr="00104202">
              <w:rPr>
                <w:sz w:val="20"/>
                <w:szCs w:val="20"/>
              </w:rPr>
              <w:t>+</w:t>
            </w:r>
            <w:r w:rsidR="001B7050" w:rsidRPr="00104202">
              <w:rPr>
                <w:sz w:val="20"/>
                <w:szCs w:val="20"/>
              </w:rPr>
              <w:t>14.7%</w:t>
            </w:r>
          </w:p>
        </w:tc>
      </w:tr>
    </w:tbl>
    <w:p w14:paraId="3D6DBC31" w14:textId="329A1BFD" w:rsidR="001B7050" w:rsidRPr="001F3C8E" w:rsidRDefault="001B7050" w:rsidP="00F53780">
      <w:pPr>
        <w:pStyle w:val="TableNotes"/>
        <w:rPr>
          <w:sz w:val="24"/>
          <w:szCs w:val="24"/>
        </w:rPr>
      </w:pPr>
      <w:r w:rsidRPr="001F3C8E">
        <w:rPr>
          <w:b/>
          <w:bCs/>
          <w:sz w:val="24"/>
          <w:szCs w:val="24"/>
        </w:rPr>
        <w:t xml:space="preserve">Notes: </w:t>
      </w:r>
      <w:r w:rsidRPr="001F3C8E">
        <w:rPr>
          <w:sz w:val="24"/>
          <w:szCs w:val="24"/>
        </w:rPr>
        <w:t xml:space="preserve">2022 </w:t>
      </w:r>
      <w:r w:rsidR="007336AA" w:rsidRPr="001F3C8E">
        <w:rPr>
          <w:sz w:val="24"/>
          <w:szCs w:val="24"/>
        </w:rPr>
        <w:t>U.S. Centers for Disease Control and Prevention (</w:t>
      </w:r>
      <w:r w:rsidRPr="001F3C8E">
        <w:rPr>
          <w:sz w:val="24"/>
          <w:szCs w:val="24"/>
        </w:rPr>
        <w:t>CDC</w:t>
      </w:r>
      <w:r w:rsidR="007336AA" w:rsidRPr="001F3C8E">
        <w:rPr>
          <w:sz w:val="24"/>
          <w:szCs w:val="24"/>
        </w:rPr>
        <w:t>)</w:t>
      </w:r>
      <w:r w:rsidRPr="001F3C8E">
        <w:rPr>
          <w:sz w:val="24"/>
          <w:szCs w:val="24"/>
        </w:rPr>
        <w:t xml:space="preserve"> PLACES </w:t>
      </w:r>
      <w:r w:rsidR="00E511E8" w:rsidRPr="001F3C8E">
        <w:rPr>
          <w:sz w:val="24"/>
          <w:szCs w:val="24"/>
        </w:rPr>
        <w:t>d</w:t>
      </w:r>
      <w:r w:rsidRPr="001F3C8E">
        <w:rPr>
          <w:sz w:val="24"/>
          <w:szCs w:val="24"/>
        </w:rPr>
        <w:t>ata.</w:t>
      </w:r>
    </w:p>
    <w:p w14:paraId="38B28108" w14:textId="50ADDF8F" w:rsidR="00A42B85" w:rsidRPr="001F3C8E" w:rsidRDefault="00A42B85" w:rsidP="001F3C8E">
      <w:pPr>
        <w:spacing w:before="80" w:after="0"/>
        <w:rPr>
          <w:szCs w:val="24"/>
        </w:rPr>
      </w:pPr>
      <w:r w:rsidRPr="001F3C8E">
        <w:rPr>
          <w:szCs w:val="24"/>
        </w:rPr>
        <w:t>Mullica experience</w:t>
      </w:r>
      <w:r w:rsidR="00DF21DC" w:rsidRPr="001F3C8E">
        <w:rPr>
          <w:szCs w:val="24"/>
        </w:rPr>
        <w:t>s a</w:t>
      </w:r>
      <w:r w:rsidRPr="001F3C8E">
        <w:rPr>
          <w:szCs w:val="24"/>
        </w:rPr>
        <w:t xml:space="preserve"> </w:t>
      </w:r>
      <w:r w:rsidRPr="001F3C8E">
        <w:rPr>
          <w:b/>
          <w:bCs/>
          <w:szCs w:val="24"/>
        </w:rPr>
        <w:t>higher-than-average prevalence of several chronic health conditions</w:t>
      </w:r>
      <w:r w:rsidRPr="001F3C8E">
        <w:rPr>
          <w:szCs w:val="24"/>
        </w:rPr>
        <w:t xml:space="preserve"> compared to County and national benchmarks</w:t>
      </w:r>
      <w:r w:rsidR="008C4BA7" w:rsidRPr="001F3C8E">
        <w:rPr>
          <w:szCs w:val="24"/>
        </w:rPr>
        <w:t xml:space="preserve"> (</w:t>
      </w:r>
      <w:r w:rsidR="002E6085" w:rsidRPr="001F3C8E">
        <w:rPr>
          <w:szCs w:val="24"/>
        </w:rPr>
        <w:t>s</w:t>
      </w:r>
      <w:r w:rsidR="008C4BA7" w:rsidRPr="001F3C8E">
        <w:rPr>
          <w:szCs w:val="24"/>
        </w:rPr>
        <w:t xml:space="preserve">ee Table </w:t>
      </w:r>
      <w:r w:rsidR="001D2673" w:rsidRPr="001F3C8E">
        <w:rPr>
          <w:szCs w:val="24"/>
        </w:rPr>
        <w:t>4</w:t>
      </w:r>
      <w:r w:rsidR="008C4BA7" w:rsidRPr="001F3C8E">
        <w:rPr>
          <w:szCs w:val="24"/>
        </w:rPr>
        <w:t>)</w:t>
      </w:r>
      <w:r w:rsidRPr="001F3C8E">
        <w:rPr>
          <w:szCs w:val="24"/>
        </w:rPr>
        <w:t xml:space="preserve">. </w:t>
      </w:r>
      <w:r w:rsidRPr="001F3C8E">
        <w:rPr>
          <w:b/>
          <w:bCs/>
          <w:szCs w:val="24"/>
        </w:rPr>
        <w:t>These elevated rates of cancer, asthma, and heart disease are conditions commonly associated in the public health literature with increased sensitivity to environmental stressors</w:t>
      </w:r>
      <w:r w:rsidRPr="001F3C8E">
        <w:rPr>
          <w:szCs w:val="24"/>
        </w:rPr>
        <w:t xml:space="preserve">, including poor air quality, soil contamination, and impaired water quality. While this application does not assert a causal link between </w:t>
      </w:r>
      <w:r w:rsidR="00806684" w:rsidRPr="001F3C8E">
        <w:rPr>
          <w:szCs w:val="24"/>
        </w:rPr>
        <w:t>Site</w:t>
      </w:r>
      <w:r w:rsidRPr="001F3C8E">
        <w:rPr>
          <w:szCs w:val="24"/>
        </w:rPr>
        <w:t xml:space="preserve"> contamination and specific health outcomes, the presence of </w:t>
      </w:r>
      <w:r w:rsidR="001D2673">
        <w:rPr>
          <w:szCs w:val="24"/>
        </w:rPr>
        <w:t>these c</w:t>
      </w:r>
      <w:r w:rsidRPr="001F3C8E">
        <w:rPr>
          <w:szCs w:val="24"/>
        </w:rPr>
        <w:t xml:space="preserve">onditions indicates a population that may be </w:t>
      </w:r>
      <w:r w:rsidRPr="001F3C8E">
        <w:rPr>
          <w:b/>
          <w:bCs/>
          <w:szCs w:val="24"/>
        </w:rPr>
        <w:t>more vulnerable to the effects of environmental exposures</w:t>
      </w:r>
      <w:r w:rsidRPr="001F3C8E">
        <w:rPr>
          <w:szCs w:val="24"/>
        </w:rPr>
        <w:t xml:space="preserve"> and</w:t>
      </w:r>
      <w:r w:rsidR="0045198E" w:rsidRPr="001F3C8E">
        <w:rPr>
          <w:szCs w:val="24"/>
        </w:rPr>
        <w:t>,</w:t>
      </w:r>
      <w:r w:rsidRPr="001F3C8E">
        <w:rPr>
          <w:szCs w:val="24"/>
        </w:rPr>
        <w:t xml:space="preserve"> therefore</w:t>
      </w:r>
      <w:r w:rsidR="0045198E" w:rsidRPr="001F3C8E">
        <w:rPr>
          <w:szCs w:val="24"/>
        </w:rPr>
        <w:t>,</w:t>
      </w:r>
      <w:r w:rsidRPr="001F3C8E">
        <w:rPr>
          <w:szCs w:val="24"/>
        </w:rPr>
        <w:t xml:space="preserve"> more likely to benefit from timely remediation and risk reduction.</w:t>
      </w:r>
      <w:r w:rsidR="00FD49B2" w:rsidRPr="001F3C8E">
        <w:rPr>
          <w:szCs w:val="24"/>
        </w:rPr>
        <w:t xml:space="preserve"> </w:t>
      </w:r>
    </w:p>
    <w:p w14:paraId="02EAF8F3" w14:textId="776E8C40" w:rsidR="004115A8" w:rsidRPr="001F3C8E" w:rsidRDefault="004115A8" w:rsidP="00B05C90">
      <w:pPr>
        <w:pStyle w:val="Heading3"/>
      </w:pPr>
      <w:r w:rsidRPr="001F3C8E">
        <w:t>2.d. Economically Impoverished/Disproportionately Impacted Populations</w:t>
      </w:r>
    </w:p>
    <w:p w14:paraId="55B16544" w14:textId="450DE218" w:rsidR="00A0215B" w:rsidRPr="001F3C8E" w:rsidRDefault="00415B92" w:rsidP="00140A88">
      <w:pPr>
        <w:rPr>
          <w:szCs w:val="24"/>
        </w:rPr>
      </w:pPr>
      <w:r w:rsidRPr="001F3C8E">
        <w:rPr>
          <w:szCs w:val="24"/>
        </w:rPr>
        <w:t xml:space="preserve">Economically </w:t>
      </w:r>
      <w:r w:rsidR="00BC2D70">
        <w:rPr>
          <w:szCs w:val="24"/>
        </w:rPr>
        <w:t>unstable</w:t>
      </w:r>
      <w:r w:rsidR="00BC2D70" w:rsidRPr="001F3C8E">
        <w:rPr>
          <w:szCs w:val="24"/>
        </w:rPr>
        <w:t xml:space="preserve"> </w:t>
      </w:r>
      <w:r w:rsidRPr="001F3C8E">
        <w:rPr>
          <w:szCs w:val="24"/>
        </w:rPr>
        <w:t xml:space="preserve">populations in Mullica experience </w:t>
      </w:r>
      <w:r w:rsidRPr="001F3C8E">
        <w:rPr>
          <w:b/>
          <w:bCs/>
          <w:szCs w:val="24"/>
        </w:rPr>
        <w:t xml:space="preserve">compounding environmental, health, and </w:t>
      </w:r>
      <w:r w:rsidR="009263E3">
        <w:rPr>
          <w:b/>
          <w:bCs/>
          <w:szCs w:val="24"/>
        </w:rPr>
        <w:t>financial</w:t>
      </w:r>
      <w:r w:rsidRPr="001F3C8E">
        <w:rPr>
          <w:b/>
          <w:bCs/>
          <w:szCs w:val="24"/>
        </w:rPr>
        <w:t xml:space="preserve"> stressors</w:t>
      </w:r>
      <w:r w:rsidRPr="001F3C8E">
        <w:rPr>
          <w:szCs w:val="24"/>
        </w:rPr>
        <w:t xml:space="preserve"> that heighten their exposure to environmental risks and limit their ability to respond without federal assistance. Publicly available data show that </w:t>
      </w:r>
      <w:r w:rsidRPr="001F3C8E">
        <w:rPr>
          <w:b/>
          <w:bCs/>
          <w:szCs w:val="24"/>
        </w:rPr>
        <w:t xml:space="preserve">6.8% of households receive </w:t>
      </w:r>
      <w:r w:rsidR="007B5A62" w:rsidRPr="001F3C8E">
        <w:rPr>
          <w:b/>
          <w:bCs/>
          <w:szCs w:val="24"/>
        </w:rPr>
        <w:t>Supplemental Nutrition Assistance Program (</w:t>
      </w:r>
      <w:r w:rsidRPr="001F3C8E">
        <w:rPr>
          <w:b/>
          <w:bCs/>
          <w:szCs w:val="24"/>
        </w:rPr>
        <w:t>SNAP</w:t>
      </w:r>
      <w:r w:rsidR="007B5A62" w:rsidRPr="001F3C8E">
        <w:rPr>
          <w:b/>
          <w:bCs/>
          <w:szCs w:val="24"/>
        </w:rPr>
        <w:t>)</w:t>
      </w:r>
      <w:r w:rsidRPr="001F3C8E">
        <w:rPr>
          <w:b/>
          <w:bCs/>
          <w:szCs w:val="24"/>
        </w:rPr>
        <w:t xml:space="preserve"> benefits</w:t>
      </w:r>
      <w:r w:rsidR="00B25F6E" w:rsidRPr="001F3C8E">
        <w:rPr>
          <w:b/>
          <w:bCs/>
          <w:szCs w:val="24"/>
        </w:rPr>
        <w:t>,</w:t>
      </w:r>
      <w:r w:rsidR="005B3FE8" w:rsidRPr="001F3C8E">
        <w:rPr>
          <w:szCs w:val="24"/>
        </w:rPr>
        <w:t xml:space="preserve"> </w:t>
      </w:r>
      <w:r w:rsidRPr="001F3C8E">
        <w:rPr>
          <w:b/>
          <w:bCs/>
          <w:szCs w:val="24"/>
        </w:rPr>
        <w:t>18.7% of residents lack a high school diploma</w:t>
      </w:r>
      <w:r w:rsidR="005B3FE8" w:rsidRPr="001F3C8E">
        <w:rPr>
          <w:rStyle w:val="FootnoteReference"/>
          <w:b/>
          <w:bCs/>
          <w:sz w:val="24"/>
          <w:szCs w:val="24"/>
        </w:rPr>
        <w:footnoteReference w:id="15"/>
      </w:r>
      <w:r w:rsidRPr="001F3C8E">
        <w:rPr>
          <w:szCs w:val="24"/>
        </w:rPr>
        <w:t xml:space="preserve">, </w:t>
      </w:r>
      <w:r w:rsidR="0073675B" w:rsidRPr="001F3C8E">
        <w:rPr>
          <w:szCs w:val="24"/>
        </w:rPr>
        <w:t xml:space="preserve">and </w:t>
      </w:r>
      <w:r w:rsidR="003602D9" w:rsidRPr="001F3C8E">
        <w:rPr>
          <w:szCs w:val="24"/>
        </w:rPr>
        <w:t>48% of students participate in the free/reduced-price lunch program through the USDA National School Lunch Program</w:t>
      </w:r>
      <w:r w:rsidR="0073675B" w:rsidRPr="001F3C8E">
        <w:rPr>
          <w:rStyle w:val="FootnoteReference"/>
          <w:sz w:val="24"/>
          <w:szCs w:val="24"/>
        </w:rPr>
        <w:footnoteReference w:id="16"/>
      </w:r>
      <w:r w:rsidR="004625B4" w:rsidRPr="001F3C8E">
        <w:rPr>
          <w:szCs w:val="24"/>
        </w:rPr>
        <w:t>, all</w:t>
      </w:r>
      <w:r w:rsidR="001520E8" w:rsidRPr="001F3C8E">
        <w:rPr>
          <w:szCs w:val="24"/>
        </w:rPr>
        <w:t xml:space="preserve"> </w:t>
      </w:r>
      <w:r w:rsidRPr="001F3C8E">
        <w:rPr>
          <w:szCs w:val="24"/>
        </w:rPr>
        <w:t>indicators of economic insecurity associated with reduced employment opportunities, limited access to healthcare, and increased prevalence of chronic disease</w:t>
      </w:r>
      <w:r w:rsidR="00E13A17" w:rsidRPr="001F3C8E">
        <w:rPr>
          <w:szCs w:val="24"/>
        </w:rPr>
        <w:t xml:space="preserve"> (see Section 2.b)</w:t>
      </w:r>
      <w:r w:rsidR="00835F60" w:rsidRPr="001F3C8E">
        <w:rPr>
          <w:szCs w:val="24"/>
        </w:rPr>
        <w:t xml:space="preserve"> suggesting a population that may be more sensitive to environmental stressors</w:t>
      </w:r>
      <w:r w:rsidRPr="001F3C8E">
        <w:rPr>
          <w:szCs w:val="24"/>
        </w:rPr>
        <w:t xml:space="preserve">. </w:t>
      </w:r>
      <w:r w:rsidR="00A5424D" w:rsidRPr="001F3C8E">
        <w:rPr>
          <w:szCs w:val="24"/>
        </w:rPr>
        <w:t xml:space="preserve">Further, </w:t>
      </w:r>
      <w:r w:rsidR="000E1417" w:rsidRPr="001F3C8E">
        <w:rPr>
          <w:szCs w:val="24"/>
        </w:rPr>
        <w:t>43</w:t>
      </w:r>
      <w:r w:rsidR="00A5424D" w:rsidRPr="001F3C8E">
        <w:rPr>
          <w:szCs w:val="24"/>
        </w:rPr>
        <w:t>% of households</w:t>
      </w:r>
      <w:r w:rsidR="00950FDF" w:rsidRPr="001F3C8E">
        <w:rPr>
          <w:szCs w:val="24"/>
        </w:rPr>
        <w:t xml:space="preserve"> </w:t>
      </w:r>
      <w:r w:rsidR="002D7DCB" w:rsidRPr="001F3C8E">
        <w:rPr>
          <w:szCs w:val="24"/>
        </w:rPr>
        <w:t xml:space="preserve">in Mullica earn less than </w:t>
      </w:r>
      <w:r w:rsidR="006D6968" w:rsidRPr="001F3C8E">
        <w:rPr>
          <w:szCs w:val="24"/>
        </w:rPr>
        <w:t xml:space="preserve">$75,000/year </w:t>
      </w:r>
      <w:r w:rsidR="00900C9E" w:rsidRPr="001F3C8E">
        <w:rPr>
          <w:szCs w:val="24"/>
        </w:rPr>
        <w:t xml:space="preserve">where 21% of those </w:t>
      </w:r>
      <w:r w:rsidR="006D6968" w:rsidRPr="001F3C8E">
        <w:rPr>
          <w:szCs w:val="24"/>
        </w:rPr>
        <w:t>are considered burdened by housing costs, which creates financial instability in those households</w:t>
      </w:r>
      <w:r w:rsidR="006D7964" w:rsidRPr="001F3C8E">
        <w:rPr>
          <w:rStyle w:val="FootnoteReference"/>
          <w:sz w:val="24"/>
          <w:szCs w:val="24"/>
        </w:rPr>
        <w:footnoteReference w:id="17"/>
      </w:r>
      <w:r w:rsidR="00143C99" w:rsidRPr="001F3C8E">
        <w:rPr>
          <w:szCs w:val="24"/>
        </w:rPr>
        <w:t xml:space="preserve">. </w:t>
      </w:r>
      <w:r w:rsidRPr="001F3C8E">
        <w:rPr>
          <w:szCs w:val="24"/>
        </w:rPr>
        <w:t xml:space="preserve"> </w:t>
      </w:r>
    </w:p>
    <w:p w14:paraId="2262CAB6" w14:textId="1700437B" w:rsidR="007E6848" w:rsidRPr="001F3C8E" w:rsidRDefault="00BA2E18" w:rsidP="001F3C8E">
      <w:pPr>
        <w:rPr>
          <w:szCs w:val="24"/>
        </w:rPr>
      </w:pPr>
      <w:r w:rsidRPr="001F3C8E">
        <w:rPr>
          <w:szCs w:val="24"/>
        </w:rPr>
        <w:t xml:space="preserve">Educational attainment further highlights structural challenges: </w:t>
      </w:r>
      <w:r w:rsidRPr="001F3C8E">
        <w:rPr>
          <w:b/>
          <w:bCs/>
          <w:szCs w:val="24"/>
        </w:rPr>
        <w:t>18.7% of Mullica residents have less than a high school diploma</w:t>
      </w:r>
      <w:r w:rsidRPr="001F3C8E">
        <w:rPr>
          <w:szCs w:val="24"/>
        </w:rPr>
        <w:t xml:space="preserve">, compared to </w:t>
      </w:r>
      <w:r w:rsidRPr="001F3C8E">
        <w:rPr>
          <w:b/>
          <w:bCs/>
          <w:szCs w:val="24"/>
        </w:rPr>
        <w:t xml:space="preserve">11.6% nationally, 9.9% statewide, and 8.8% </w:t>
      </w:r>
      <w:r w:rsidR="005D0FB7" w:rsidRPr="001F3C8E">
        <w:rPr>
          <w:b/>
          <w:bCs/>
          <w:szCs w:val="24"/>
        </w:rPr>
        <w:t>C</w:t>
      </w:r>
      <w:r w:rsidRPr="001F3C8E">
        <w:rPr>
          <w:b/>
          <w:bCs/>
          <w:szCs w:val="24"/>
        </w:rPr>
        <w:t>ountywide</w:t>
      </w:r>
      <w:r w:rsidRPr="001F3C8E">
        <w:rPr>
          <w:szCs w:val="24"/>
        </w:rPr>
        <w:t>. Federal public health research identifies lower educational attainment as a key social determinant of health associated with higher unemployment, poorer health outcomes, and reduced lifetime earnings, all of which limit community resilience and local fiscal capacity</w:t>
      </w:r>
      <w:r w:rsidR="00460793" w:rsidRPr="001F3C8E">
        <w:rPr>
          <w:rStyle w:val="FootnoteReference"/>
          <w:sz w:val="24"/>
          <w:szCs w:val="24"/>
        </w:rPr>
        <w:footnoteReference w:id="18"/>
      </w:r>
      <w:r w:rsidRPr="001F3C8E">
        <w:rPr>
          <w:szCs w:val="24"/>
        </w:rPr>
        <w:t>.</w:t>
      </w:r>
      <w:r w:rsidR="00A35B16" w:rsidRPr="001F3C8E">
        <w:rPr>
          <w:szCs w:val="24"/>
        </w:rPr>
        <w:t xml:space="preserve"> </w:t>
      </w:r>
      <w:r w:rsidRPr="001F3C8E">
        <w:rPr>
          <w:szCs w:val="24"/>
        </w:rPr>
        <w:t xml:space="preserve">Mullica’s population is older than </w:t>
      </w:r>
      <w:r w:rsidR="005D0FB7" w:rsidRPr="001F3C8E">
        <w:rPr>
          <w:szCs w:val="24"/>
        </w:rPr>
        <w:t>C</w:t>
      </w:r>
      <w:r w:rsidRPr="001F3C8E">
        <w:rPr>
          <w:szCs w:val="24"/>
        </w:rPr>
        <w:t xml:space="preserve">ounty and state averages, with a </w:t>
      </w:r>
      <w:r w:rsidRPr="001F3C8E">
        <w:rPr>
          <w:b/>
          <w:bCs/>
          <w:szCs w:val="24"/>
        </w:rPr>
        <w:t>median age of 46.2 years</w:t>
      </w:r>
      <w:r w:rsidRPr="001F3C8E">
        <w:rPr>
          <w:szCs w:val="24"/>
        </w:rPr>
        <w:t xml:space="preserve">, and </w:t>
      </w:r>
      <w:r w:rsidRPr="001F3C8E">
        <w:rPr>
          <w:b/>
          <w:bCs/>
          <w:szCs w:val="24"/>
        </w:rPr>
        <w:t>17.8% of residents report having a disability</w:t>
      </w:r>
      <w:r w:rsidRPr="001F3C8E">
        <w:rPr>
          <w:szCs w:val="24"/>
        </w:rPr>
        <w:t xml:space="preserve">, increasing demand for municipal services while constraining workforce participation and revenue growth. Municipal staffing is limited and focused on essential services such as </w:t>
      </w:r>
      <w:r w:rsidRPr="001F3C8E">
        <w:rPr>
          <w:szCs w:val="24"/>
        </w:rPr>
        <w:lastRenderedPageBreak/>
        <w:t xml:space="preserve">public safety, emergency response, and road maintenance. </w:t>
      </w:r>
      <w:r w:rsidR="00500EBB" w:rsidRPr="001F3C8E">
        <w:rPr>
          <w:szCs w:val="24"/>
        </w:rPr>
        <w:t>Mullica</w:t>
      </w:r>
      <w:r w:rsidRPr="001F3C8E">
        <w:rPr>
          <w:szCs w:val="24"/>
        </w:rPr>
        <w:t xml:space="preserve"> has no dedicated environmental or redevelopment staff and must rely on outside consultants and </w:t>
      </w:r>
      <w:r w:rsidR="00500EBB" w:rsidRPr="001F3C8E">
        <w:rPr>
          <w:szCs w:val="24"/>
        </w:rPr>
        <w:t>s</w:t>
      </w:r>
      <w:r w:rsidRPr="001F3C8E">
        <w:rPr>
          <w:szCs w:val="24"/>
        </w:rPr>
        <w:t>tate agencies to manage technically complex cleanup activities.</w:t>
      </w:r>
      <w:r w:rsidR="007E6848" w:rsidRPr="001F3C8E">
        <w:rPr>
          <w:szCs w:val="24"/>
        </w:rPr>
        <w:t xml:space="preserve"> </w:t>
      </w:r>
    </w:p>
    <w:p w14:paraId="2EB2ADB5" w14:textId="3F655597" w:rsidR="00E544AF" w:rsidRPr="001F3C8E" w:rsidRDefault="00E4453D" w:rsidP="00F4056D">
      <w:pPr>
        <w:pStyle w:val="Heading2"/>
      </w:pPr>
      <w:r w:rsidRPr="001F3C8E">
        <w:t>Community Engagement</w:t>
      </w:r>
    </w:p>
    <w:p w14:paraId="7E2C0881" w14:textId="01CA98D6" w:rsidR="00705830" w:rsidRPr="001F3C8E" w:rsidRDefault="00A66BB4" w:rsidP="00B05C90">
      <w:pPr>
        <w:pStyle w:val="Heading3"/>
      </w:pPr>
      <w:r w:rsidRPr="001F3C8E">
        <w:rPr>
          <w:bCs/>
        </w:rPr>
        <w:t>2</w:t>
      </w:r>
      <w:r w:rsidR="00BE5736" w:rsidRPr="001F3C8E">
        <w:rPr>
          <w:bCs/>
        </w:rPr>
        <w:t>.e</w:t>
      </w:r>
      <w:r w:rsidR="00757681" w:rsidRPr="001F3C8E">
        <w:rPr>
          <w:bCs/>
        </w:rPr>
        <w:t xml:space="preserve">. </w:t>
      </w:r>
      <w:r w:rsidR="00705830" w:rsidRPr="001F3C8E">
        <w:t>Project Involvement</w:t>
      </w:r>
      <w:r w:rsidR="006A09DF" w:rsidRPr="001F3C8E">
        <w:t xml:space="preserve"> &amp; 2.f. Project Roles</w:t>
      </w:r>
    </w:p>
    <w:p w14:paraId="19BA7CE3" w14:textId="3DE7A247" w:rsidR="000B14E7" w:rsidRPr="001F3C8E" w:rsidRDefault="00145B62" w:rsidP="00140A88">
      <w:pPr>
        <w:pStyle w:val="Bullet1ss"/>
        <w:numPr>
          <w:ilvl w:val="0"/>
          <w:numId w:val="0"/>
        </w:numPr>
        <w:spacing w:after="40"/>
        <w:rPr>
          <w:szCs w:val="24"/>
        </w:rPr>
      </w:pPr>
      <w:r w:rsidRPr="001F3C8E">
        <w:rPr>
          <w:b/>
          <w:szCs w:val="24"/>
        </w:rPr>
        <w:t xml:space="preserve">Table </w:t>
      </w:r>
      <w:r w:rsidR="00F269FD" w:rsidRPr="001F3C8E">
        <w:rPr>
          <w:b/>
          <w:szCs w:val="24"/>
        </w:rPr>
        <w:t>5</w:t>
      </w:r>
      <w:r w:rsidRPr="001F3C8E">
        <w:rPr>
          <w:szCs w:val="24"/>
        </w:rPr>
        <w:t xml:space="preserve"> below provides a list of those organizations involved in this project and their specific roles on the project. Mullica will update partners and transparently incorporate feedback (2.c.iii).</w:t>
      </w:r>
    </w:p>
    <w:p w14:paraId="1D18A4B2" w14:textId="32676CAB" w:rsidR="00705830" w:rsidRPr="001F3C8E" w:rsidRDefault="00A66BB4" w:rsidP="00B05C90">
      <w:pPr>
        <w:pStyle w:val="Heading3"/>
      </w:pPr>
      <w:r w:rsidRPr="001F3C8E">
        <w:t>2.</w:t>
      </w:r>
      <w:r w:rsidR="00BE5736" w:rsidRPr="001F3C8E">
        <w:t>f</w:t>
      </w:r>
      <w:r w:rsidR="00705830" w:rsidRPr="001F3C8E">
        <w:t>. Project Roles</w:t>
      </w:r>
    </w:p>
    <w:p w14:paraId="5F0B972B" w14:textId="7A49518F" w:rsidR="00181E82" w:rsidRPr="001F3C8E" w:rsidRDefault="00181E82" w:rsidP="00B05C90">
      <w:pPr>
        <w:pStyle w:val="TableTitle"/>
      </w:pPr>
      <w:r w:rsidRPr="001F3C8E">
        <w:t>Table</w:t>
      </w:r>
      <w:r w:rsidR="0017329E" w:rsidRPr="001F3C8E">
        <w:t xml:space="preserve"> </w:t>
      </w:r>
      <w:r w:rsidR="00615BBE">
        <w:t>5</w:t>
      </w:r>
      <w:r w:rsidRPr="001F3C8E">
        <w:t>. Organizational Involvement and Roles</w:t>
      </w:r>
    </w:p>
    <w:tbl>
      <w:tblPr>
        <w:tblStyle w:val="TableGrid"/>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790"/>
        <w:gridCol w:w="5580"/>
      </w:tblGrid>
      <w:tr w:rsidR="00181E82" w:rsidRPr="008F1FBA" w14:paraId="5FF5C2D5" w14:textId="77777777" w:rsidTr="001F3C8E">
        <w:trPr>
          <w:trHeight w:val="314"/>
          <w:jc w:val="center"/>
        </w:trPr>
        <w:tc>
          <w:tcPr>
            <w:tcW w:w="3145" w:type="dxa"/>
            <w:shd w:val="clear" w:color="auto" w:fill="DFDCDA" w:themeFill="text1" w:themeFillTint="33"/>
            <w:vAlign w:val="center"/>
          </w:tcPr>
          <w:p w14:paraId="5AB34375" w14:textId="47768B33" w:rsidR="00181E82" w:rsidRPr="00104202" w:rsidRDefault="00181E82" w:rsidP="00EF506A">
            <w:pPr>
              <w:pStyle w:val="TableColumnHeading"/>
              <w:rPr>
                <w:sz w:val="20"/>
                <w:szCs w:val="20"/>
              </w:rPr>
            </w:pPr>
            <w:r w:rsidRPr="00104202">
              <w:rPr>
                <w:sz w:val="20"/>
                <w:szCs w:val="20"/>
              </w:rPr>
              <w:t>Name of Organization/Entity/Group and Mission</w:t>
            </w:r>
          </w:p>
        </w:tc>
        <w:tc>
          <w:tcPr>
            <w:tcW w:w="2790" w:type="dxa"/>
            <w:shd w:val="clear" w:color="auto" w:fill="DFDCDA" w:themeFill="text1" w:themeFillTint="33"/>
            <w:vAlign w:val="center"/>
          </w:tcPr>
          <w:p w14:paraId="045EF136" w14:textId="4D760136" w:rsidR="00181E82" w:rsidRPr="00104202" w:rsidRDefault="00181E82" w:rsidP="00EF506A">
            <w:pPr>
              <w:pStyle w:val="TableColumnHeading"/>
              <w:rPr>
                <w:sz w:val="20"/>
                <w:szCs w:val="20"/>
              </w:rPr>
            </w:pPr>
            <w:r w:rsidRPr="000D6B09">
              <w:rPr>
                <w:b w:val="0"/>
                <w:sz w:val="20"/>
                <w:szCs w:val="20"/>
              </w:rPr>
              <w:t xml:space="preserve">Point of Contact </w:t>
            </w:r>
          </w:p>
        </w:tc>
        <w:tc>
          <w:tcPr>
            <w:tcW w:w="5580" w:type="dxa"/>
            <w:shd w:val="clear" w:color="auto" w:fill="DFDCDA" w:themeFill="text1" w:themeFillTint="33"/>
            <w:vAlign w:val="center"/>
          </w:tcPr>
          <w:p w14:paraId="49586A60" w14:textId="29C6F25B" w:rsidR="00181E82" w:rsidRPr="00104202" w:rsidRDefault="3CE8C164" w:rsidP="00EF506A">
            <w:pPr>
              <w:pStyle w:val="TableColumnHeading"/>
              <w:rPr>
                <w:sz w:val="20"/>
                <w:szCs w:val="20"/>
              </w:rPr>
            </w:pPr>
            <w:r w:rsidRPr="00104202">
              <w:rPr>
                <w:sz w:val="20"/>
                <w:szCs w:val="20"/>
              </w:rPr>
              <w:t>Specific Involvement/Assistance Provided</w:t>
            </w:r>
          </w:p>
        </w:tc>
      </w:tr>
      <w:tr w:rsidR="006958C6" w:rsidRPr="008F1FBA" w14:paraId="5ECFC7C8" w14:textId="77777777" w:rsidTr="001F3C8E">
        <w:trPr>
          <w:trHeight w:val="332"/>
          <w:jc w:val="center"/>
        </w:trPr>
        <w:tc>
          <w:tcPr>
            <w:tcW w:w="3145" w:type="dxa"/>
            <w:vAlign w:val="center"/>
          </w:tcPr>
          <w:p w14:paraId="6BC2D8CE" w14:textId="43194CF5" w:rsidR="006958C6" w:rsidRPr="00104202" w:rsidRDefault="006958C6" w:rsidP="006958C6">
            <w:pPr>
              <w:pStyle w:val="TableContent"/>
              <w:jc w:val="left"/>
              <w:rPr>
                <w:rFonts w:ascii="Calibri" w:hAnsi="Calibri" w:cs="Calibri"/>
                <w:color w:val="000000"/>
                <w:sz w:val="20"/>
                <w:szCs w:val="20"/>
              </w:rPr>
            </w:pPr>
            <w:r w:rsidRPr="00104202">
              <w:rPr>
                <w:rFonts w:ascii="Calibri" w:hAnsi="Calibri" w:cs="Calibri"/>
                <w:b/>
                <w:bCs/>
                <w:color w:val="000000"/>
                <w:sz w:val="20"/>
                <w:szCs w:val="20"/>
              </w:rPr>
              <w:t>Mullica (Applicant &amp; Site Owner)</w:t>
            </w:r>
            <w:r w:rsidRPr="00104202">
              <w:rPr>
                <w:rFonts w:ascii="Calibri" w:hAnsi="Calibri" w:cs="Calibri"/>
                <w:color w:val="000000"/>
                <w:sz w:val="20"/>
                <w:szCs w:val="20"/>
              </w:rPr>
              <w:t xml:space="preserve"> </w:t>
            </w:r>
          </w:p>
          <w:p w14:paraId="1D4D4F2E" w14:textId="288AB15C" w:rsidR="006958C6" w:rsidRPr="00104202" w:rsidRDefault="006958C6" w:rsidP="006958C6">
            <w:pPr>
              <w:pStyle w:val="TableContent"/>
              <w:jc w:val="left"/>
              <w:rPr>
                <w:sz w:val="20"/>
                <w:szCs w:val="20"/>
              </w:rPr>
            </w:pPr>
            <w:r w:rsidRPr="00104202">
              <w:rPr>
                <w:rFonts w:ascii="Calibri" w:hAnsi="Calibri" w:cs="Calibri"/>
                <w:i/>
                <w:iCs/>
                <w:color w:val="000000"/>
                <w:sz w:val="20"/>
                <w:szCs w:val="20"/>
              </w:rPr>
              <w:t>Mission:</w:t>
            </w:r>
            <w:r w:rsidRPr="00104202">
              <w:rPr>
                <w:rFonts w:ascii="Calibri" w:hAnsi="Calibri" w:cs="Calibri"/>
                <w:color w:val="000000"/>
                <w:sz w:val="20"/>
                <w:szCs w:val="20"/>
              </w:rPr>
              <w:t xml:space="preserve"> Provide municipal services, protect public health, and advance community revitalization.</w:t>
            </w:r>
          </w:p>
        </w:tc>
        <w:tc>
          <w:tcPr>
            <w:tcW w:w="2790" w:type="dxa"/>
            <w:vAlign w:val="center"/>
          </w:tcPr>
          <w:p w14:paraId="39E36BEE" w14:textId="5E547FB1" w:rsidR="006958C6" w:rsidRPr="00104202" w:rsidRDefault="006958C6" w:rsidP="006958C6">
            <w:pPr>
              <w:pStyle w:val="TableContent"/>
              <w:jc w:val="left"/>
              <w:rPr>
                <w:sz w:val="20"/>
                <w:szCs w:val="20"/>
              </w:rPr>
            </w:pPr>
            <w:r w:rsidRPr="00104202">
              <w:rPr>
                <w:rFonts w:ascii="Calibri" w:hAnsi="Calibri" w:cs="Calibri"/>
                <w:color w:val="000000"/>
                <w:sz w:val="20"/>
                <w:szCs w:val="20"/>
              </w:rPr>
              <w:t>Township Administrator / Municipal Clerk</w:t>
            </w:r>
          </w:p>
        </w:tc>
        <w:tc>
          <w:tcPr>
            <w:tcW w:w="5580" w:type="dxa"/>
            <w:vAlign w:val="center"/>
          </w:tcPr>
          <w:p w14:paraId="64B06998" w14:textId="1DFBBD1C" w:rsidR="006958C6" w:rsidRPr="00104202" w:rsidRDefault="006958C6" w:rsidP="006958C6">
            <w:pPr>
              <w:pStyle w:val="TableContent"/>
              <w:jc w:val="left"/>
              <w:rPr>
                <w:sz w:val="20"/>
                <w:szCs w:val="20"/>
              </w:rPr>
            </w:pPr>
            <w:r w:rsidRPr="00104202">
              <w:rPr>
                <w:rFonts w:ascii="Calibri" w:hAnsi="Calibri" w:cs="Calibri"/>
                <w:color w:val="000000"/>
                <w:sz w:val="20"/>
                <w:szCs w:val="20"/>
              </w:rPr>
              <w:t>Serve as lead applicant and project manager; administer EPA cooperative agreement; oversee procurement and contractors; coordinate regulatory agencies; lead public outreach; incorporate community input into cleanup and reuse decisions.</w:t>
            </w:r>
          </w:p>
        </w:tc>
      </w:tr>
      <w:tr w:rsidR="006958C6" w:rsidRPr="008F1FBA" w14:paraId="6C0296DE" w14:textId="77777777" w:rsidTr="001F3C8E">
        <w:trPr>
          <w:trHeight w:val="332"/>
          <w:jc w:val="center"/>
        </w:trPr>
        <w:tc>
          <w:tcPr>
            <w:tcW w:w="3145" w:type="dxa"/>
            <w:vAlign w:val="center"/>
          </w:tcPr>
          <w:p w14:paraId="298462A5" w14:textId="686A41EC" w:rsidR="006A3804" w:rsidRPr="00104202" w:rsidRDefault="006958C6" w:rsidP="006958C6">
            <w:pPr>
              <w:pStyle w:val="TableContent"/>
              <w:jc w:val="left"/>
              <w:rPr>
                <w:rFonts w:ascii="Calibri" w:hAnsi="Calibri" w:cs="Calibri"/>
                <w:b/>
                <w:bCs/>
                <w:color w:val="000000"/>
                <w:sz w:val="20"/>
                <w:szCs w:val="20"/>
              </w:rPr>
            </w:pPr>
            <w:r w:rsidRPr="00104202">
              <w:rPr>
                <w:rFonts w:ascii="Calibri" w:hAnsi="Calibri" w:cs="Calibri"/>
                <w:b/>
                <w:bCs/>
                <w:color w:val="000000"/>
                <w:sz w:val="20"/>
                <w:szCs w:val="20"/>
              </w:rPr>
              <w:t>NJDEP</w:t>
            </w:r>
          </w:p>
          <w:p w14:paraId="6A78636E" w14:textId="4F6FE7D4" w:rsidR="006958C6" w:rsidRPr="00104202" w:rsidRDefault="006958C6" w:rsidP="006958C6">
            <w:pPr>
              <w:pStyle w:val="TableContent"/>
              <w:jc w:val="left"/>
              <w:rPr>
                <w:sz w:val="20"/>
                <w:szCs w:val="20"/>
              </w:rPr>
            </w:pPr>
            <w:r w:rsidRPr="00104202">
              <w:rPr>
                <w:rFonts w:ascii="Calibri" w:hAnsi="Calibri" w:cs="Calibri"/>
                <w:i/>
                <w:iCs/>
                <w:color w:val="000000"/>
                <w:sz w:val="20"/>
                <w:szCs w:val="20"/>
              </w:rPr>
              <w:t>Mission:</w:t>
            </w:r>
            <w:r w:rsidRPr="00104202">
              <w:rPr>
                <w:rFonts w:ascii="Calibri" w:hAnsi="Calibri" w:cs="Calibri"/>
                <w:color w:val="000000"/>
                <w:sz w:val="20"/>
                <w:szCs w:val="20"/>
              </w:rPr>
              <w:t xml:space="preserve"> Protect the environment and public health.</w:t>
            </w:r>
          </w:p>
        </w:tc>
        <w:tc>
          <w:tcPr>
            <w:tcW w:w="2790" w:type="dxa"/>
            <w:vAlign w:val="center"/>
          </w:tcPr>
          <w:p w14:paraId="278B57BE" w14:textId="21C7BC78" w:rsidR="006958C6" w:rsidRPr="00104202" w:rsidRDefault="006958C6" w:rsidP="006958C6">
            <w:pPr>
              <w:pStyle w:val="TableContent"/>
              <w:jc w:val="left"/>
              <w:rPr>
                <w:sz w:val="20"/>
                <w:szCs w:val="20"/>
              </w:rPr>
            </w:pPr>
            <w:r w:rsidRPr="00104202">
              <w:rPr>
                <w:rFonts w:ascii="Calibri" w:hAnsi="Calibri" w:cs="Calibri"/>
                <w:color w:val="000000"/>
                <w:sz w:val="20"/>
                <w:szCs w:val="20"/>
              </w:rPr>
              <w:t xml:space="preserve">NJDEP </w:t>
            </w:r>
            <w:r w:rsidR="00BC5C1E" w:rsidRPr="00104202">
              <w:rPr>
                <w:rFonts w:ascii="Calibri" w:hAnsi="Calibri" w:cs="Calibri"/>
                <w:color w:val="000000"/>
                <w:sz w:val="20"/>
                <w:szCs w:val="20"/>
              </w:rPr>
              <w:t xml:space="preserve">CSRRP </w:t>
            </w:r>
            <w:r w:rsidR="00214629" w:rsidRPr="00104202">
              <w:rPr>
                <w:rFonts w:ascii="Calibri" w:hAnsi="Calibri" w:cs="Calibri"/>
                <w:color w:val="000000"/>
                <w:sz w:val="20"/>
                <w:szCs w:val="20"/>
              </w:rPr>
              <w:t xml:space="preserve">and Solid Waste </w:t>
            </w:r>
            <w:r w:rsidRPr="00104202">
              <w:rPr>
                <w:rFonts w:ascii="Calibri" w:hAnsi="Calibri" w:cs="Calibri"/>
                <w:color w:val="000000"/>
                <w:sz w:val="20"/>
                <w:szCs w:val="20"/>
              </w:rPr>
              <w:t>Program Staff</w:t>
            </w:r>
          </w:p>
        </w:tc>
        <w:tc>
          <w:tcPr>
            <w:tcW w:w="5580" w:type="dxa"/>
            <w:vAlign w:val="center"/>
          </w:tcPr>
          <w:p w14:paraId="27B1D344" w14:textId="39D0EF7E" w:rsidR="006958C6" w:rsidRPr="00104202" w:rsidRDefault="006958C6" w:rsidP="006958C6">
            <w:pPr>
              <w:pStyle w:val="TableContent"/>
              <w:jc w:val="left"/>
              <w:rPr>
                <w:sz w:val="20"/>
                <w:szCs w:val="20"/>
              </w:rPr>
            </w:pPr>
            <w:r w:rsidRPr="00104202">
              <w:rPr>
                <w:rFonts w:ascii="Calibri" w:hAnsi="Calibri" w:cs="Calibri"/>
                <w:color w:val="000000"/>
                <w:sz w:val="20"/>
                <w:szCs w:val="20"/>
              </w:rPr>
              <w:t xml:space="preserve">Provide regulatory oversight under </w:t>
            </w:r>
            <w:r w:rsidR="008F68A3" w:rsidRPr="00104202">
              <w:rPr>
                <w:rFonts w:ascii="Calibri" w:hAnsi="Calibri" w:cs="Calibri"/>
                <w:color w:val="000000"/>
                <w:sz w:val="20"/>
                <w:szCs w:val="20"/>
              </w:rPr>
              <w:t>the Administrative Requirements for the Remediation of Contaminated Sites (</w:t>
            </w:r>
            <w:r w:rsidRPr="00104202">
              <w:rPr>
                <w:rFonts w:ascii="Calibri" w:hAnsi="Calibri" w:cs="Calibri"/>
                <w:color w:val="000000"/>
                <w:sz w:val="20"/>
                <w:szCs w:val="20"/>
              </w:rPr>
              <w:t>ARRCS</w:t>
            </w:r>
            <w:r w:rsidR="008F68A3" w:rsidRPr="00104202">
              <w:rPr>
                <w:rFonts w:ascii="Calibri" w:hAnsi="Calibri" w:cs="Calibri"/>
                <w:color w:val="000000"/>
                <w:sz w:val="20"/>
                <w:szCs w:val="20"/>
              </w:rPr>
              <w:t>)</w:t>
            </w:r>
            <w:r w:rsidRPr="00104202">
              <w:rPr>
                <w:rFonts w:ascii="Calibri" w:hAnsi="Calibri" w:cs="Calibri"/>
                <w:color w:val="000000"/>
                <w:sz w:val="20"/>
                <w:szCs w:val="20"/>
              </w:rPr>
              <w:t xml:space="preserve"> and solid waste programs; review and approve cleanup documentation; ensure protectiveness of remedial actions; coordinate with EPA.</w:t>
            </w:r>
          </w:p>
        </w:tc>
      </w:tr>
      <w:tr w:rsidR="00A73174" w:rsidRPr="008F1FBA" w14:paraId="314E07F1" w14:textId="77777777" w:rsidTr="001F3C8E">
        <w:trPr>
          <w:trHeight w:val="332"/>
          <w:jc w:val="center"/>
        </w:trPr>
        <w:tc>
          <w:tcPr>
            <w:tcW w:w="3145" w:type="dxa"/>
            <w:vAlign w:val="center"/>
          </w:tcPr>
          <w:p w14:paraId="0EFF4607" w14:textId="131D9BD7" w:rsidR="00A73174" w:rsidRPr="00104202" w:rsidRDefault="0055194D" w:rsidP="006958C6">
            <w:pPr>
              <w:pStyle w:val="TableContent"/>
              <w:jc w:val="left"/>
              <w:rPr>
                <w:rFonts w:ascii="Calibri" w:hAnsi="Calibri" w:cs="Calibri"/>
                <w:b/>
                <w:bCs/>
                <w:color w:val="000000"/>
                <w:sz w:val="20"/>
                <w:szCs w:val="20"/>
              </w:rPr>
            </w:pPr>
            <w:r w:rsidRPr="00104202">
              <w:rPr>
                <w:rFonts w:ascii="Calibri" w:hAnsi="Calibri" w:cs="Calibri"/>
                <w:b/>
                <w:bCs/>
                <w:color w:val="000000"/>
                <w:sz w:val="20"/>
                <w:szCs w:val="20"/>
              </w:rPr>
              <w:t>LSRP</w:t>
            </w:r>
          </w:p>
          <w:p w14:paraId="44D67492" w14:textId="6D4226AB" w:rsidR="00DC6665" w:rsidRPr="00104202" w:rsidRDefault="00DC6665" w:rsidP="006958C6">
            <w:pPr>
              <w:pStyle w:val="TableContent"/>
              <w:jc w:val="left"/>
              <w:rPr>
                <w:rFonts w:ascii="Calibri" w:hAnsi="Calibri" w:cs="Calibri"/>
                <w:color w:val="000000"/>
                <w:sz w:val="20"/>
                <w:szCs w:val="20"/>
              </w:rPr>
            </w:pPr>
            <w:r w:rsidRPr="00104202">
              <w:rPr>
                <w:rFonts w:ascii="Calibri" w:hAnsi="Calibri" w:cs="Calibri"/>
                <w:color w:val="000000"/>
                <w:sz w:val="20"/>
                <w:szCs w:val="20"/>
              </w:rPr>
              <w:t>Mission: LSRP’s highest priority is protection of public health</w:t>
            </w:r>
            <w:r w:rsidR="0055194D" w:rsidRPr="00104202">
              <w:rPr>
                <w:rFonts w:ascii="Calibri" w:hAnsi="Calibri" w:cs="Calibri"/>
                <w:color w:val="000000"/>
                <w:sz w:val="20"/>
                <w:szCs w:val="20"/>
              </w:rPr>
              <w:t>,</w:t>
            </w:r>
            <w:r w:rsidRPr="00104202">
              <w:rPr>
                <w:rFonts w:ascii="Calibri" w:hAnsi="Calibri" w:cs="Calibri"/>
                <w:color w:val="000000"/>
                <w:sz w:val="20"/>
                <w:szCs w:val="20"/>
              </w:rPr>
              <w:t xml:space="preserve"> safety</w:t>
            </w:r>
            <w:r w:rsidR="0055194D" w:rsidRPr="00104202">
              <w:rPr>
                <w:rFonts w:ascii="Calibri" w:hAnsi="Calibri" w:cs="Calibri"/>
                <w:color w:val="000000"/>
                <w:sz w:val="20"/>
                <w:szCs w:val="20"/>
              </w:rPr>
              <w:t>,</w:t>
            </w:r>
            <w:r w:rsidRPr="00104202">
              <w:rPr>
                <w:rFonts w:ascii="Calibri" w:hAnsi="Calibri" w:cs="Calibri"/>
                <w:color w:val="000000"/>
                <w:sz w:val="20"/>
                <w:szCs w:val="20"/>
              </w:rPr>
              <w:t xml:space="preserve"> and the environment.</w:t>
            </w:r>
          </w:p>
        </w:tc>
        <w:tc>
          <w:tcPr>
            <w:tcW w:w="2790" w:type="dxa"/>
            <w:vAlign w:val="center"/>
          </w:tcPr>
          <w:p w14:paraId="7242E206" w14:textId="2A34BE95" w:rsidR="00A73174" w:rsidRPr="00104202" w:rsidRDefault="00327040" w:rsidP="006958C6">
            <w:pPr>
              <w:pStyle w:val="TableContent"/>
              <w:jc w:val="left"/>
              <w:rPr>
                <w:rFonts w:ascii="Calibri" w:hAnsi="Calibri" w:cs="Calibri"/>
                <w:color w:val="000000"/>
                <w:sz w:val="20"/>
                <w:szCs w:val="20"/>
              </w:rPr>
            </w:pPr>
            <w:r w:rsidRPr="00104202">
              <w:rPr>
                <w:rFonts w:ascii="Calibri" w:hAnsi="Calibri" w:cs="Calibri"/>
                <w:color w:val="000000"/>
                <w:sz w:val="20"/>
                <w:szCs w:val="20"/>
              </w:rPr>
              <w:t>Township</w:t>
            </w:r>
            <w:r w:rsidR="0055194D" w:rsidRPr="00104202">
              <w:rPr>
                <w:rFonts w:ascii="Calibri" w:hAnsi="Calibri" w:cs="Calibri"/>
                <w:color w:val="000000"/>
                <w:sz w:val="20"/>
                <w:szCs w:val="20"/>
              </w:rPr>
              <w:t>-r</w:t>
            </w:r>
            <w:r w:rsidRPr="00104202">
              <w:rPr>
                <w:rFonts w:ascii="Calibri" w:hAnsi="Calibri" w:cs="Calibri"/>
                <w:color w:val="000000"/>
                <w:sz w:val="20"/>
                <w:szCs w:val="20"/>
              </w:rPr>
              <w:t>etained LSRP</w:t>
            </w:r>
          </w:p>
        </w:tc>
        <w:tc>
          <w:tcPr>
            <w:tcW w:w="5580" w:type="dxa"/>
            <w:vAlign w:val="center"/>
          </w:tcPr>
          <w:p w14:paraId="0AE5E9FB" w14:textId="135A9FDB" w:rsidR="00A73174" w:rsidRPr="00104202" w:rsidRDefault="00DC6665" w:rsidP="006958C6">
            <w:pPr>
              <w:pStyle w:val="TableContent"/>
              <w:jc w:val="left"/>
              <w:rPr>
                <w:rFonts w:ascii="Calibri" w:hAnsi="Calibri" w:cs="Calibri"/>
                <w:color w:val="000000"/>
                <w:sz w:val="20"/>
                <w:szCs w:val="20"/>
              </w:rPr>
            </w:pPr>
            <w:r w:rsidRPr="00104202">
              <w:rPr>
                <w:rFonts w:ascii="Calibri" w:hAnsi="Calibri" w:cs="Calibri"/>
                <w:color w:val="000000"/>
                <w:sz w:val="20"/>
                <w:szCs w:val="20"/>
              </w:rPr>
              <w:t>Manage and/or supervise remediation conducted at the Site pursuant to NJDEP CSRRP rules and regulations</w:t>
            </w:r>
            <w:r w:rsidR="00327040" w:rsidRPr="00104202">
              <w:rPr>
                <w:rFonts w:ascii="Calibri" w:hAnsi="Calibri" w:cs="Calibri"/>
                <w:color w:val="000000"/>
                <w:sz w:val="20"/>
                <w:szCs w:val="20"/>
              </w:rPr>
              <w:t>; coordinate with NJDEP and Pinelands Commission.</w:t>
            </w:r>
            <w:r w:rsidRPr="00104202">
              <w:rPr>
                <w:rFonts w:ascii="Calibri" w:hAnsi="Calibri" w:cs="Calibri"/>
                <w:color w:val="000000"/>
                <w:sz w:val="20"/>
                <w:szCs w:val="20"/>
              </w:rPr>
              <w:t xml:space="preserve">  </w:t>
            </w:r>
          </w:p>
        </w:tc>
      </w:tr>
      <w:tr w:rsidR="006958C6" w:rsidRPr="008F1FBA" w14:paraId="490B5067" w14:textId="77777777" w:rsidTr="001F3C8E">
        <w:trPr>
          <w:trHeight w:val="332"/>
          <w:jc w:val="center"/>
        </w:trPr>
        <w:tc>
          <w:tcPr>
            <w:tcW w:w="3145" w:type="dxa"/>
            <w:vAlign w:val="center"/>
          </w:tcPr>
          <w:p w14:paraId="1A2A30C7" w14:textId="77777777" w:rsidR="006958C6" w:rsidRPr="00104202" w:rsidRDefault="006958C6" w:rsidP="006958C6">
            <w:pPr>
              <w:pStyle w:val="TableContent"/>
              <w:jc w:val="left"/>
              <w:rPr>
                <w:rFonts w:ascii="Calibri" w:hAnsi="Calibri" w:cs="Calibri"/>
                <w:color w:val="000000"/>
                <w:sz w:val="20"/>
                <w:szCs w:val="20"/>
              </w:rPr>
            </w:pPr>
            <w:r w:rsidRPr="00104202">
              <w:rPr>
                <w:rFonts w:ascii="Calibri" w:hAnsi="Calibri" w:cs="Calibri"/>
                <w:b/>
                <w:bCs/>
                <w:color w:val="000000"/>
                <w:sz w:val="20"/>
                <w:szCs w:val="20"/>
              </w:rPr>
              <w:t>Pinelands Commission</w:t>
            </w:r>
            <w:r w:rsidRPr="00104202">
              <w:rPr>
                <w:rFonts w:ascii="Calibri" w:hAnsi="Calibri" w:cs="Calibri"/>
                <w:color w:val="000000"/>
                <w:sz w:val="20"/>
                <w:szCs w:val="20"/>
              </w:rPr>
              <w:t xml:space="preserve"> </w:t>
            </w:r>
          </w:p>
          <w:p w14:paraId="07B782C0" w14:textId="2D04547E" w:rsidR="006958C6" w:rsidRPr="00104202" w:rsidRDefault="006958C6" w:rsidP="006958C6">
            <w:pPr>
              <w:pStyle w:val="TableContent"/>
              <w:jc w:val="left"/>
              <w:rPr>
                <w:sz w:val="20"/>
                <w:szCs w:val="20"/>
              </w:rPr>
            </w:pPr>
            <w:r w:rsidRPr="00104202">
              <w:rPr>
                <w:rFonts w:ascii="Calibri" w:hAnsi="Calibri" w:cs="Calibri"/>
                <w:i/>
                <w:iCs/>
                <w:color w:val="000000"/>
                <w:sz w:val="20"/>
                <w:szCs w:val="20"/>
              </w:rPr>
              <w:t>Mission:</w:t>
            </w:r>
            <w:r w:rsidRPr="00104202">
              <w:rPr>
                <w:rFonts w:ascii="Calibri" w:hAnsi="Calibri" w:cs="Calibri"/>
                <w:color w:val="000000"/>
                <w:sz w:val="20"/>
                <w:szCs w:val="20"/>
              </w:rPr>
              <w:t xml:space="preserve"> Preserve, protect, and enhance the Pinelands ecosystem.</w:t>
            </w:r>
          </w:p>
        </w:tc>
        <w:tc>
          <w:tcPr>
            <w:tcW w:w="2790" w:type="dxa"/>
            <w:vAlign w:val="center"/>
          </w:tcPr>
          <w:p w14:paraId="261FBC25" w14:textId="06A62C21" w:rsidR="006958C6" w:rsidRPr="00104202" w:rsidRDefault="006958C6" w:rsidP="006958C6">
            <w:pPr>
              <w:pStyle w:val="TableContent"/>
              <w:jc w:val="left"/>
              <w:rPr>
                <w:sz w:val="20"/>
                <w:szCs w:val="20"/>
              </w:rPr>
            </w:pPr>
            <w:r w:rsidRPr="00104202">
              <w:rPr>
                <w:rFonts w:ascii="Calibri" w:hAnsi="Calibri" w:cs="Calibri"/>
                <w:color w:val="000000"/>
                <w:sz w:val="20"/>
                <w:szCs w:val="20"/>
              </w:rPr>
              <w:t>Pinelands Commission Planner / Environmental Staff</w:t>
            </w:r>
          </w:p>
        </w:tc>
        <w:tc>
          <w:tcPr>
            <w:tcW w:w="5580" w:type="dxa"/>
            <w:vAlign w:val="center"/>
          </w:tcPr>
          <w:p w14:paraId="2A819A5B" w14:textId="4480359E" w:rsidR="006958C6" w:rsidRPr="00104202" w:rsidRDefault="006958C6" w:rsidP="006958C6">
            <w:pPr>
              <w:pStyle w:val="TableContent"/>
              <w:jc w:val="left"/>
              <w:rPr>
                <w:sz w:val="20"/>
                <w:szCs w:val="20"/>
              </w:rPr>
            </w:pPr>
            <w:r w:rsidRPr="00104202">
              <w:rPr>
                <w:rFonts w:ascii="Calibri" w:hAnsi="Calibri" w:cs="Calibri"/>
                <w:color w:val="000000"/>
                <w:sz w:val="20"/>
                <w:szCs w:val="20"/>
              </w:rPr>
              <w:t xml:space="preserve">Provide technical coordination and guidance to ensure cleanup, restoration, and reuse comply with the Pinelands </w:t>
            </w:r>
            <w:r w:rsidR="0055194D" w:rsidRPr="00104202">
              <w:rPr>
                <w:rFonts w:ascii="Calibri" w:hAnsi="Calibri" w:cs="Calibri"/>
                <w:color w:val="000000"/>
                <w:sz w:val="20"/>
                <w:szCs w:val="20"/>
              </w:rPr>
              <w:t>CMP</w:t>
            </w:r>
            <w:r w:rsidRPr="00104202">
              <w:rPr>
                <w:rFonts w:ascii="Calibri" w:hAnsi="Calibri" w:cs="Calibri"/>
                <w:color w:val="000000"/>
                <w:sz w:val="20"/>
                <w:szCs w:val="20"/>
              </w:rPr>
              <w:t>; advise on ecological restoration and land-use compatibility.</w:t>
            </w:r>
          </w:p>
        </w:tc>
      </w:tr>
      <w:tr w:rsidR="006958C6" w:rsidRPr="008F1FBA" w14:paraId="522D5492" w14:textId="77777777" w:rsidTr="001F3C8E">
        <w:trPr>
          <w:trHeight w:val="332"/>
          <w:jc w:val="center"/>
        </w:trPr>
        <w:tc>
          <w:tcPr>
            <w:tcW w:w="3145" w:type="dxa"/>
            <w:vAlign w:val="center"/>
          </w:tcPr>
          <w:p w14:paraId="033EB0A6" w14:textId="0595BFED" w:rsidR="0007660B" w:rsidRPr="00104202" w:rsidRDefault="006958C6" w:rsidP="006958C6">
            <w:pPr>
              <w:pStyle w:val="TableContent"/>
              <w:jc w:val="left"/>
              <w:rPr>
                <w:rFonts w:ascii="Calibri" w:hAnsi="Calibri" w:cs="Calibri"/>
                <w:color w:val="000000"/>
                <w:sz w:val="20"/>
                <w:szCs w:val="20"/>
              </w:rPr>
            </w:pPr>
            <w:r w:rsidRPr="00104202">
              <w:rPr>
                <w:rFonts w:ascii="Calibri" w:hAnsi="Calibri" w:cs="Calibri"/>
                <w:b/>
                <w:bCs/>
                <w:color w:val="000000"/>
                <w:sz w:val="20"/>
                <w:szCs w:val="20"/>
              </w:rPr>
              <w:t>County Health Department</w:t>
            </w:r>
            <w:r w:rsidRPr="00104202">
              <w:rPr>
                <w:rFonts w:ascii="Calibri" w:hAnsi="Calibri" w:cs="Calibri"/>
                <w:color w:val="000000"/>
                <w:sz w:val="20"/>
                <w:szCs w:val="20"/>
              </w:rPr>
              <w:t xml:space="preserve"> </w:t>
            </w:r>
          </w:p>
          <w:p w14:paraId="3251FB4B" w14:textId="4BF4A3DA" w:rsidR="006958C6" w:rsidRPr="00104202" w:rsidRDefault="006958C6" w:rsidP="006958C6">
            <w:pPr>
              <w:pStyle w:val="TableContent"/>
              <w:jc w:val="left"/>
              <w:rPr>
                <w:sz w:val="20"/>
                <w:szCs w:val="20"/>
              </w:rPr>
            </w:pPr>
            <w:r w:rsidRPr="00104202">
              <w:rPr>
                <w:rFonts w:ascii="Calibri" w:hAnsi="Calibri" w:cs="Calibri"/>
                <w:i/>
                <w:iCs/>
                <w:color w:val="000000"/>
                <w:sz w:val="20"/>
                <w:szCs w:val="20"/>
              </w:rPr>
              <w:t>Mission:</w:t>
            </w:r>
            <w:r w:rsidRPr="00104202">
              <w:rPr>
                <w:rFonts w:ascii="Calibri" w:hAnsi="Calibri" w:cs="Calibri"/>
                <w:color w:val="000000"/>
                <w:sz w:val="20"/>
                <w:szCs w:val="20"/>
              </w:rPr>
              <w:t xml:space="preserve"> Protect and improve public health through environmental and health services.</w:t>
            </w:r>
          </w:p>
        </w:tc>
        <w:tc>
          <w:tcPr>
            <w:tcW w:w="2790" w:type="dxa"/>
            <w:vAlign w:val="center"/>
          </w:tcPr>
          <w:p w14:paraId="0E222904" w14:textId="2FF7A3B7" w:rsidR="006958C6" w:rsidRPr="00104202" w:rsidRDefault="006958C6" w:rsidP="006958C6">
            <w:pPr>
              <w:pStyle w:val="TableContent"/>
              <w:jc w:val="left"/>
              <w:rPr>
                <w:sz w:val="20"/>
                <w:szCs w:val="20"/>
              </w:rPr>
            </w:pPr>
            <w:r w:rsidRPr="00104202">
              <w:rPr>
                <w:rFonts w:ascii="Calibri" w:hAnsi="Calibri" w:cs="Calibri"/>
                <w:color w:val="000000"/>
                <w:sz w:val="20"/>
                <w:szCs w:val="20"/>
              </w:rPr>
              <w:t>Environmental Health Program Staff</w:t>
            </w:r>
          </w:p>
        </w:tc>
        <w:tc>
          <w:tcPr>
            <w:tcW w:w="5580" w:type="dxa"/>
            <w:vAlign w:val="center"/>
          </w:tcPr>
          <w:p w14:paraId="4F8C3DD8" w14:textId="2BA2C498" w:rsidR="006958C6" w:rsidRPr="00104202" w:rsidRDefault="006958C6" w:rsidP="006958C6">
            <w:pPr>
              <w:pStyle w:val="TableContent"/>
              <w:jc w:val="left"/>
              <w:rPr>
                <w:sz w:val="20"/>
                <w:szCs w:val="20"/>
              </w:rPr>
            </w:pPr>
            <w:r w:rsidRPr="00104202">
              <w:rPr>
                <w:rFonts w:ascii="Calibri" w:hAnsi="Calibri" w:cs="Calibri"/>
                <w:color w:val="000000"/>
                <w:sz w:val="20"/>
                <w:szCs w:val="20"/>
              </w:rPr>
              <w:t xml:space="preserve">Support coordination related to waste handling and disposal; provide </w:t>
            </w:r>
            <w:r w:rsidR="0007660B" w:rsidRPr="00104202">
              <w:rPr>
                <w:rFonts w:ascii="Calibri" w:hAnsi="Calibri" w:cs="Calibri"/>
                <w:color w:val="000000"/>
                <w:sz w:val="20"/>
                <w:szCs w:val="20"/>
              </w:rPr>
              <w:t xml:space="preserve">a </w:t>
            </w:r>
            <w:r w:rsidRPr="00104202">
              <w:rPr>
                <w:rFonts w:ascii="Calibri" w:hAnsi="Calibri" w:cs="Calibri"/>
                <w:color w:val="000000"/>
                <w:sz w:val="20"/>
                <w:szCs w:val="20"/>
              </w:rPr>
              <w:t>public health perspective; build on prior involvement in large-scale tire removal and hazard reduction at the Site.</w:t>
            </w:r>
          </w:p>
        </w:tc>
      </w:tr>
      <w:tr w:rsidR="006958C6" w:rsidRPr="008F1FBA" w14:paraId="0EC7B4F6" w14:textId="77777777" w:rsidTr="001F3C8E">
        <w:trPr>
          <w:trHeight w:val="332"/>
          <w:jc w:val="center"/>
        </w:trPr>
        <w:tc>
          <w:tcPr>
            <w:tcW w:w="3145" w:type="dxa"/>
            <w:vAlign w:val="center"/>
          </w:tcPr>
          <w:p w14:paraId="4EA481CB" w14:textId="77777777" w:rsidR="006958C6" w:rsidRPr="00104202" w:rsidRDefault="006958C6" w:rsidP="006958C6">
            <w:pPr>
              <w:pStyle w:val="TableContent"/>
              <w:jc w:val="left"/>
              <w:rPr>
                <w:rFonts w:ascii="Calibri" w:hAnsi="Calibri" w:cs="Calibri"/>
                <w:color w:val="000000"/>
                <w:sz w:val="20"/>
                <w:szCs w:val="20"/>
              </w:rPr>
            </w:pPr>
            <w:r w:rsidRPr="00104202">
              <w:rPr>
                <w:rFonts w:ascii="Calibri" w:hAnsi="Calibri" w:cs="Calibri"/>
                <w:b/>
                <w:bCs/>
                <w:color w:val="000000"/>
                <w:sz w:val="20"/>
                <w:szCs w:val="20"/>
              </w:rPr>
              <w:t>The Nature Conservancy</w:t>
            </w:r>
            <w:r w:rsidRPr="00104202">
              <w:rPr>
                <w:rFonts w:ascii="Calibri" w:hAnsi="Calibri" w:cs="Calibri"/>
                <w:color w:val="000000"/>
                <w:sz w:val="20"/>
                <w:szCs w:val="20"/>
              </w:rPr>
              <w:t xml:space="preserve"> </w:t>
            </w:r>
          </w:p>
          <w:p w14:paraId="4C188477" w14:textId="5F9E1550" w:rsidR="006958C6" w:rsidRPr="00104202" w:rsidRDefault="006958C6" w:rsidP="006958C6">
            <w:pPr>
              <w:pStyle w:val="TableContent"/>
              <w:jc w:val="left"/>
              <w:rPr>
                <w:sz w:val="20"/>
                <w:szCs w:val="20"/>
              </w:rPr>
            </w:pPr>
            <w:r w:rsidRPr="00104202">
              <w:rPr>
                <w:rFonts w:ascii="Calibri" w:hAnsi="Calibri" w:cs="Calibri"/>
                <w:i/>
                <w:iCs/>
                <w:color w:val="000000"/>
                <w:sz w:val="20"/>
                <w:szCs w:val="20"/>
              </w:rPr>
              <w:t>Mission:</w:t>
            </w:r>
            <w:r w:rsidRPr="00104202">
              <w:rPr>
                <w:rFonts w:ascii="Calibri" w:hAnsi="Calibri" w:cs="Calibri"/>
                <w:color w:val="000000"/>
                <w:sz w:val="20"/>
                <w:szCs w:val="20"/>
              </w:rPr>
              <w:t xml:space="preserve"> Conserve the lands and waters on which all life depends.</w:t>
            </w:r>
          </w:p>
        </w:tc>
        <w:tc>
          <w:tcPr>
            <w:tcW w:w="2790" w:type="dxa"/>
            <w:vAlign w:val="center"/>
          </w:tcPr>
          <w:p w14:paraId="639EA10B" w14:textId="4A506006" w:rsidR="006958C6" w:rsidRPr="00104202" w:rsidRDefault="006958C6" w:rsidP="006958C6">
            <w:pPr>
              <w:pStyle w:val="TableContent"/>
              <w:jc w:val="left"/>
              <w:rPr>
                <w:sz w:val="20"/>
                <w:szCs w:val="20"/>
              </w:rPr>
            </w:pPr>
            <w:r w:rsidRPr="00104202">
              <w:rPr>
                <w:rFonts w:ascii="Calibri" w:hAnsi="Calibri" w:cs="Calibri"/>
                <w:color w:val="000000"/>
                <w:sz w:val="20"/>
                <w:szCs w:val="20"/>
              </w:rPr>
              <w:t>Regional Conservation Staff</w:t>
            </w:r>
          </w:p>
        </w:tc>
        <w:tc>
          <w:tcPr>
            <w:tcW w:w="5580" w:type="dxa"/>
            <w:vAlign w:val="center"/>
          </w:tcPr>
          <w:p w14:paraId="57951EB4" w14:textId="42F7A8B2" w:rsidR="006958C6" w:rsidRPr="00104202" w:rsidRDefault="006958C6" w:rsidP="006958C6">
            <w:pPr>
              <w:pStyle w:val="TableContent"/>
              <w:jc w:val="left"/>
              <w:rPr>
                <w:sz w:val="20"/>
                <w:szCs w:val="20"/>
              </w:rPr>
            </w:pPr>
            <w:r w:rsidRPr="00104202">
              <w:rPr>
                <w:rFonts w:ascii="Calibri" w:hAnsi="Calibri" w:cs="Calibri"/>
                <w:color w:val="000000"/>
                <w:sz w:val="20"/>
                <w:szCs w:val="20"/>
              </w:rPr>
              <w:t>Provide advisory input on ecological restoration, habitat protection, and conservation-based reuse opportunities following cleanup.</w:t>
            </w:r>
          </w:p>
        </w:tc>
      </w:tr>
      <w:tr w:rsidR="006958C6" w:rsidRPr="008F1FBA" w14:paraId="0B91F0B8" w14:textId="77777777" w:rsidTr="001F3C8E">
        <w:trPr>
          <w:trHeight w:val="332"/>
          <w:jc w:val="center"/>
        </w:trPr>
        <w:tc>
          <w:tcPr>
            <w:tcW w:w="3145" w:type="dxa"/>
            <w:vAlign w:val="center"/>
          </w:tcPr>
          <w:p w14:paraId="04273000" w14:textId="77777777" w:rsidR="006958C6" w:rsidRPr="00104202" w:rsidRDefault="006958C6" w:rsidP="006958C6">
            <w:pPr>
              <w:pStyle w:val="TableContent"/>
              <w:jc w:val="left"/>
              <w:rPr>
                <w:rFonts w:ascii="Calibri" w:hAnsi="Calibri" w:cs="Calibri"/>
                <w:color w:val="000000"/>
                <w:sz w:val="20"/>
                <w:szCs w:val="20"/>
              </w:rPr>
            </w:pPr>
            <w:r w:rsidRPr="00104202">
              <w:rPr>
                <w:rFonts w:ascii="Calibri" w:hAnsi="Calibri" w:cs="Calibri"/>
                <w:b/>
                <w:bCs/>
                <w:color w:val="000000"/>
                <w:sz w:val="20"/>
                <w:szCs w:val="20"/>
              </w:rPr>
              <w:t>Local Recreation Groups</w:t>
            </w:r>
            <w:r w:rsidRPr="00104202">
              <w:rPr>
                <w:rFonts w:ascii="Calibri" w:hAnsi="Calibri" w:cs="Calibri"/>
                <w:color w:val="000000"/>
                <w:sz w:val="20"/>
                <w:szCs w:val="20"/>
              </w:rPr>
              <w:t xml:space="preserve"> </w:t>
            </w:r>
          </w:p>
          <w:p w14:paraId="1934EECC" w14:textId="37CE65E1" w:rsidR="006958C6" w:rsidRPr="00104202" w:rsidRDefault="006958C6" w:rsidP="006958C6">
            <w:pPr>
              <w:pStyle w:val="TableContent"/>
              <w:jc w:val="left"/>
              <w:rPr>
                <w:sz w:val="20"/>
                <w:szCs w:val="20"/>
              </w:rPr>
            </w:pPr>
            <w:r w:rsidRPr="00104202">
              <w:rPr>
                <w:rFonts w:ascii="Calibri" w:hAnsi="Calibri" w:cs="Calibri"/>
                <w:i/>
                <w:iCs/>
                <w:color w:val="000000"/>
                <w:sz w:val="20"/>
                <w:szCs w:val="20"/>
              </w:rPr>
              <w:t>Mission:</w:t>
            </w:r>
            <w:r w:rsidRPr="00104202">
              <w:rPr>
                <w:rFonts w:ascii="Calibri" w:hAnsi="Calibri" w:cs="Calibri"/>
                <w:color w:val="000000"/>
                <w:sz w:val="20"/>
                <w:szCs w:val="20"/>
              </w:rPr>
              <w:t xml:space="preserve"> Promote outdoor recreation and community access to natural areas.</w:t>
            </w:r>
          </w:p>
        </w:tc>
        <w:tc>
          <w:tcPr>
            <w:tcW w:w="2790" w:type="dxa"/>
            <w:vAlign w:val="center"/>
          </w:tcPr>
          <w:p w14:paraId="1EB9C315" w14:textId="482EC102" w:rsidR="006958C6" w:rsidRPr="00104202" w:rsidRDefault="006958C6" w:rsidP="006958C6">
            <w:pPr>
              <w:pStyle w:val="TableContent"/>
              <w:jc w:val="left"/>
              <w:rPr>
                <w:sz w:val="20"/>
                <w:szCs w:val="20"/>
              </w:rPr>
            </w:pPr>
            <w:r w:rsidRPr="00104202">
              <w:rPr>
                <w:rFonts w:ascii="Calibri" w:hAnsi="Calibri" w:cs="Calibri"/>
                <w:color w:val="000000"/>
                <w:sz w:val="20"/>
                <w:szCs w:val="20"/>
              </w:rPr>
              <w:t>Organization Representatives</w:t>
            </w:r>
          </w:p>
        </w:tc>
        <w:tc>
          <w:tcPr>
            <w:tcW w:w="5580" w:type="dxa"/>
            <w:vAlign w:val="center"/>
          </w:tcPr>
          <w:p w14:paraId="577DAE3B" w14:textId="1C37BBDC" w:rsidR="006958C6" w:rsidRPr="00104202" w:rsidRDefault="006958C6" w:rsidP="006958C6">
            <w:pPr>
              <w:pStyle w:val="TableContent"/>
              <w:jc w:val="left"/>
              <w:rPr>
                <w:sz w:val="20"/>
                <w:szCs w:val="20"/>
              </w:rPr>
            </w:pPr>
            <w:r w:rsidRPr="00104202">
              <w:rPr>
                <w:rFonts w:ascii="Calibri" w:hAnsi="Calibri" w:cs="Calibri"/>
                <w:color w:val="000000"/>
                <w:sz w:val="20"/>
                <w:szCs w:val="20"/>
              </w:rPr>
              <w:t xml:space="preserve">Participate in stakeholder engagement; provide feedback on </w:t>
            </w:r>
            <w:r w:rsidR="001B0169" w:rsidRPr="00104202">
              <w:rPr>
                <w:rFonts w:ascii="Calibri" w:hAnsi="Calibri" w:cs="Calibri"/>
                <w:color w:val="000000"/>
                <w:sz w:val="20"/>
                <w:szCs w:val="20"/>
              </w:rPr>
              <w:t>S</w:t>
            </w:r>
            <w:r w:rsidRPr="00104202">
              <w:rPr>
                <w:rFonts w:ascii="Calibri" w:hAnsi="Calibri" w:cs="Calibri"/>
                <w:color w:val="000000"/>
                <w:sz w:val="20"/>
                <w:szCs w:val="20"/>
              </w:rPr>
              <w:t xml:space="preserve">ite safety, access, and compatible recreational or </w:t>
            </w:r>
            <w:proofErr w:type="gramStart"/>
            <w:r w:rsidRPr="00104202">
              <w:rPr>
                <w:rFonts w:ascii="Calibri" w:hAnsi="Calibri" w:cs="Calibri"/>
                <w:color w:val="000000"/>
                <w:sz w:val="20"/>
                <w:szCs w:val="20"/>
              </w:rPr>
              <w:t>open-space</w:t>
            </w:r>
            <w:proofErr w:type="gramEnd"/>
            <w:r w:rsidRPr="00104202">
              <w:rPr>
                <w:rFonts w:ascii="Calibri" w:hAnsi="Calibri" w:cs="Calibri"/>
                <w:color w:val="000000"/>
                <w:sz w:val="20"/>
                <w:szCs w:val="20"/>
              </w:rPr>
              <w:t xml:space="preserve"> uses following cleanup</w:t>
            </w:r>
            <w:r w:rsidR="00083011">
              <w:rPr>
                <w:rFonts w:ascii="Calibri" w:hAnsi="Calibri" w:cs="Calibri"/>
                <w:color w:val="000000"/>
                <w:sz w:val="20"/>
                <w:szCs w:val="20"/>
              </w:rPr>
              <w:t xml:space="preserve"> (e.g., Trout Unlimited, </w:t>
            </w:r>
            <w:r w:rsidR="00E54C41">
              <w:rPr>
                <w:rFonts w:ascii="Calibri" w:hAnsi="Calibri" w:cs="Calibri"/>
                <w:color w:val="000000"/>
                <w:sz w:val="20"/>
                <w:szCs w:val="20"/>
              </w:rPr>
              <w:t>Hunting Clubs)</w:t>
            </w:r>
            <w:r w:rsidRPr="00104202">
              <w:rPr>
                <w:rFonts w:ascii="Calibri" w:hAnsi="Calibri" w:cs="Calibri"/>
                <w:color w:val="000000"/>
                <w:sz w:val="20"/>
                <w:szCs w:val="20"/>
              </w:rPr>
              <w:t>.</w:t>
            </w:r>
          </w:p>
        </w:tc>
      </w:tr>
      <w:tr w:rsidR="006958C6" w:rsidRPr="008F1FBA" w14:paraId="60DC3FFE" w14:textId="77777777" w:rsidTr="001F3C8E">
        <w:trPr>
          <w:trHeight w:val="332"/>
          <w:jc w:val="center"/>
        </w:trPr>
        <w:tc>
          <w:tcPr>
            <w:tcW w:w="3145" w:type="dxa"/>
            <w:vAlign w:val="center"/>
          </w:tcPr>
          <w:p w14:paraId="61605E1C" w14:textId="6C9F9729" w:rsidR="006958C6" w:rsidRPr="00104202" w:rsidRDefault="006958C6" w:rsidP="006958C6">
            <w:pPr>
              <w:pStyle w:val="TableContent"/>
              <w:jc w:val="left"/>
              <w:rPr>
                <w:sz w:val="20"/>
                <w:szCs w:val="20"/>
              </w:rPr>
            </w:pPr>
            <w:r w:rsidRPr="00104202">
              <w:rPr>
                <w:rFonts w:ascii="Calibri" w:hAnsi="Calibri" w:cs="Calibri"/>
                <w:b/>
                <w:bCs/>
                <w:color w:val="000000"/>
                <w:sz w:val="20"/>
                <w:szCs w:val="20"/>
              </w:rPr>
              <w:t>General Public and Nearby Residents</w:t>
            </w:r>
            <w:r w:rsidRPr="00104202">
              <w:rPr>
                <w:rFonts w:ascii="Calibri" w:hAnsi="Calibri" w:cs="Calibri"/>
                <w:color w:val="000000"/>
                <w:sz w:val="20"/>
                <w:szCs w:val="20"/>
              </w:rPr>
              <w:t xml:space="preserve"> </w:t>
            </w:r>
            <w:r w:rsidRPr="00104202">
              <w:rPr>
                <w:rFonts w:ascii="Calibri" w:hAnsi="Calibri" w:cs="Calibri"/>
                <w:i/>
                <w:iCs/>
                <w:color w:val="000000"/>
                <w:sz w:val="20"/>
                <w:szCs w:val="20"/>
              </w:rPr>
              <w:t>Mission:</w:t>
            </w:r>
            <w:r w:rsidRPr="00104202">
              <w:rPr>
                <w:rFonts w:ascii="Calibri" w:hAnsi="Calibri" w:cs="Calibri"/>
                <w:color w:val="000000"/>
                <w:sz w:val="20"/>
                <w:szCs w:val="20"/>
              </w:rPr>
              <w:t xml:space="preserve"> Represent community interests and local knowledge.</w:t>
            </w:r>
          </w:p>
        </w:tc>
        <w:tc>
          <w:tcPr>
            <w:tcW w:w="2790" w:type="dxa"/>
            <w:vAlign w:val="center"/>
          </w:tcPr>
          <w:p w14:paraId="49074D96" w14:textId="120DAB5E" w:rsidR="006958C6" w:rsidRPr="00104202" w:rsidRDefault="006958C6" w:rsidP="006958C6">
            <w:pPr>
              <w:pStyle w:val="TableContent"/>
              <w:jc w:val="left"/>
              <w:rPr>
                <w:sz w:val="20"/>
                <w:szCs w:val="20"/>
              </w:rPr>
            </w:pPr>
            <w:r w:rsidRPr="00104202">
              <w:rPr>
                <w:rFonts w:ascii="Calibri" w:hAnsi="Calibri" w:cs="Calibri"/>
                <w:color w:val="000000"/>
                <w:sz w:val="20"/>
                <w:szCs w:val="20"/>
              </w:rPr>
              <w:t>N/A</w:t>
            </w:r>
          </w:p>
        </w:tc>
        <w:tc>
          <w:tcPr>
            <w:tcW w:w="5580" w:type="dxa"/>
            <w:vAlign w:val="center"/>
          </w:tcPr>
          <w:p w14:paraId="38383F2C" w14:textId="23C3AA59" w:rsidR="006958C6" w:rsidRPr="00104202" w:rsidRDefault="006958C6" w:rsidP="006958C6">
            <w:pPr>
              <w:pStyle w:val="TableContent"/>
              <w:jc w:val="left"/>
              <w:rPr>
                <w:sz w:val="20"/>
                <w:szCs w:val="20"/>
              </w:rPr>
            </w:pPr>
            <w:r w:rsidRPr="00104202">
              <w:rPr>
                <w:rFonts w:ascii="Calibri" w:hAnsi="Calibri" w:cs="Calibri"/>
                <w:color w:val="000000"/>
                <w:sz w:val="20"/>
                <w:szCs w:val="20"/>
              </w:rPr>
              <w:t xml:space="preserve">Participate through public meetings, </w:t>
            </w:r>
            <w:r w:rsidR="00D92A0D">
              <w:rPr>
                <w:rFonts w:ascii="Calibri" w:hAnsi="Calibri" w:cs="Calibri"/>
                <w:color w:val="000000"/>
                <w:sz w:val="20"/>
                <w:szCs w:val="20"/>
              </w:rPr>
              <w:t>Analysis of Brownfields Cleanup Alternatives (</w:t>
            </w:r>
            <w:r w:rsidRPr="00104202">
              <w:rPr>
                <w:rFonts w:ascii="Calibri" w:hAnsi="Calibri" w:cs="Calibri"/>
                <w:color w:val="000000"/>
                <w:sz w:val="20"/>
                <w:szCs w:val="20"/>
              </w:rPr>
              <w:t>ABCA</w:t>
            </w:r>
            <w:r w:rsidR="00D92A0D">
              <w:rPr>
                <w:rFonts w:ascii="Calibri" w:hAnsi="Calibri" w:cs="Calibri"/>
                <w:color w:val="000000"/>
                <w:sz w:val="20"/>
                <w:szCs w:val="20"/>
              </w:rPr>
              <w:t>)</w:t>
            </w:r>
            <w:r w:rsidRPr="00104202">
              <w:rPr>
                <w:rFonts w:ascii="Calibri" w:hAnsi="Calibri" w:cs="Calibri"/>
                <w:color w:val="000000"/>
                <w:sz w:val="20"/>
                <w:szCs w:val="20"/>
              </w:rPr>
              <w:t xml:space="preserve"> review and comment, and </w:t>
            </w:r>
            <w:r w:rsidR="001B0169" w:rsidRPr="00104202">
              <w:rPr>
                <w:rFonts w:ascii="Calibri" w:hAnsi="Calibri" w:cs="Calibri"/>
                <w:color w:val="000000"/>
                <w:sz w:val="20"/>
                <w:szCs w:val="20"/>
              </w:rPr>
              <w:t>t</w:t>
            </w:r>
            <w:r w:rsidRPr="00104202">
              <w:rPr>
                <w:rFonts w:ascii="Calibri" w:hAnsi="Calibri" w:cs="Calibri"/>
                <w:color w:val="000000"/>
                <w:sz w:val="20"/>
                <w:szCs w:val="20"/>
              </w:rPr>
              <w:t xml:space="preserve">ownship outreach; provide feedback on cleanup sequencing, </w:t>
            </w:r>
            <w:r w:rsidR="00270AE2" w:rsidRPr="00104202">
              <w:rPr>
                <w:rFonts w:ascii="Calibri" w:hAnsi="Calibri" w:cs="Calibri"/>
                <w:color w:val="000000"/>
                <w:sz w:val="20"/>
                <w:szCs w:val="20"/>
              </w:rPr>
              <w:t>S</w:t>
            </w:r>
            <w:r w:rsidRPr="00104202">
              <w:rPr>
                <w:rFonts w:ascii="Calibri" w:hAnsi="Calibri" w:cs="Calibri"/>
                <w:color w:val="000000"/>
                <w:sz w:val="20"/>
                <w:szCs w:val="20"/>
              </w:rPr>
              <w:t>ite safety, and reuse priorities.</w:t>
            </w:r>
          </w:p>
        </w:tc>
      </w:tr>
    </w:tbl>
    <w:p w14:paraId="56E1A31F" w14:textId="132DBDFA" w:rsidR="002B289E" w:rsidRPr="001F3C8E" w:rsidRDefault="00A66BB4" w:rsidP="00B05C90">
      <w:pPr>
        <w:pStyle w:val="Heading3"/>
      </w:pPr>
      <w:r w:rsidRPr="001F3C8E">
        <w:t>2.</w:t>
      </w:r>
      <w:r w:rsidR="00124596" w:rsidRPr="001F3C8E">
        <w:t>g</w:t>
      </w:r>
      <w:r w:rsidR="002B289E" w:rsidRPr="001F3C8E">
        <w:t>. Incorporating Community Input</w:t>
      </w:r>
    </w:p>
    <w:p w14:paraId="292D66C3" w14:textId="1AE62437" w:rsidR="00653293" w:rsidRPr="001F3C8E" w:rsidRDefault="00332120" w:rsidP="00361030">
      <w:pPr>
        <w:rPr>
          <w:szCs w:val="24"/>
        </w:rPr>
      </w:pPr>
      <w:r w:rsidRPr="001F3C8E">
        <w:rPr>
          <w:b/>
          <w:bCs/>
          <w:szCs w:val="24"/>
        </w:rPr>
        <w:t xml:space="preserve">On January 8, 2026, </w:t>
      </w:r>
      <w:r w:rsidR="00653293" w:rsidRPr="001F3C8E">
        <w:rPr>
          <w:b/>
          <w:bCs/>
          <w:szCs w:val="24"/>
        </w:rPr>
        <w:t>Mullica</w:t>
      </w:r>
      <w:r w:rsidRPr="001F3C8E">
        <w:rPr>
          <w:b/>
          <w:bCs/>
          <w:szCs w:val="24"/>
        </w:rPr>
        <w:t xml:space="preserve"> held a community meeting for public input on the draft application and AB</w:t>
      </w:r>
      <w:r w:rsidR="000D2AC6" w:rsidRPr="001F3C8E">
        <w:rPr>
          <w:b/>
          <w:bCs/>
          <w:szCs w:val="24"/>
        </w:rPr>
        <w:t>C</w:t>
      </w:r>
      <w:r w:rsidRPr="001F3C8E">
        <w:rPr>
          <w:b/>
          <w:bCs/>
          <w:szCs w:val="24"/>
        </w:rPr>
        <w:t>A and posted them on its website</w:t>
      </w:r>
      <w:r w:rsidRPr="001F3C8E">
        <w:rPr>
          <w:szCs w:val="24"/>
        </w:rPr>
        <w:t>.</w:t>
      </w:r>
      <w:r w:rsidR="0004266D" w:rsidRPr="001F3C8E">
        <w:rPr>
          <w:szCs w:val="24"/>
        </w:rPr>
        <w:t xml:space="preserve"> Mullica will develop a Public Involvement Plan (PIP) </w:t>
      </w:r>
      <w:r w:rsidR="00A35CB8" w:rsidRPr="001F3C8E">
        <w:rPr>
          <w:szCs w:val="24"/>
        </w:rPr>
        <w:t xml:space="preserve">engage people over 65 without internet, young families, youth, local elected officials and community leaders throughout the target area, and other diverse stakeholders. </w:t>
      </w:r>
      <w:r w:rsidR="00E914AB" w:rsidRPr="001F3C8E">
        <w:rPr>
          <w:szCs w:val="24"/>
        </w:rPr>
        <w:t xml:space="preserve">Mullica anticipates holding </w:t>
      </w:r>
      <w:r w:rsidR="00E1447B" w:rsidRPr="001F3C8E">
        <w:rPr>
          <w:szCs w:val="24"/>
        </w:rPr>
        <w:t>four community meeting</w:t>
      </w:r>
      <w:r w:rsidR="00797671" w:rsidRPr="001F3C8E">
        <w:rPr>
          <w:szCs w:val="24"/>
        </w:rPr>
        <w:t xml:space="preserve">s: one prior to </w:t>
      </w:r>
      <w:r w:rsidR="00AA17BE" w:rsidRPr="001F3C8E">
        <w:rPr>
          <w:szCs w:val="24"/>
        </w:rPr>
        <w:t>cleanup (estimated December 2026), two during cleanup (estimated July and October 2027), and one post-cleanup (estimated March 2028).</w:t>
      </w:r>
      <w:r w:rsidR="0097753C" w:rsidRPr="001F3C8E">
        <w:rPr>
          <w:szCs w:val="24"/>
        </w:rPr>
        <w:t xml:space="preserve"> All will be in-person and virtual for maximum participation,</w:t>
      </w:r>
      <w:r w:rsidR="0081359A" w:rsidRPr="001F3C8E">
        <w:rPr>
          <w:szCs w:val="24"/>
        </w:rPr>
        <w:t xml:space="preserve"> where attendance </w:t>
      </w:r>
      <w:r w:rsidR="00F504DE" w:rsidRPr="001F3C8E">
        <w:rPr>
          <w:szCs w:val="24"/>
        </w:rPr>
        <w:t xml:space="preserve">and </w:t>
      </w:r>
      <w:r w:rsidR="00B44279" w:rsidRPr="001F3C8E">
        <w:rPr>
          <w:szCs w:val="24"/>
        </w:rPr>
        <w:t>comments</w:t>
      </w:r>
      <w:r w:rsidR="00351556" w:rsidRPr="001F3C8E">
        <w:rPr>
          <w:szCs w:val="24"/>
        </w:rPr>
        <w:t xml:space="preserve"> will be recorded </w:t>
      </w:r>
      <w:r w:rsidR="0062565D" w:rsidRPr="001F3C8E">
        <w:rPr>
          <w:szCs w:val="24"/>
        </w:rPr>
        <w:t>for consideration during cleanup. Meetings will be advertised u</w:t>
      </w:r>
      <w:r w:rsidR="00722541" w:rsidRPr="001F3C8E">
        <w:rPr>
          <w:szCs w:val="24"/>
        </w:rPr>
        <w:t>s</w:t>
      </w:r>
      <w:r w:rsidR="0062565D" w:rsidRPr="001F3C8E">
        <w:rPr>
          <w:szCs w:val="24"/>
        </w:rPr>
        <w:t xml:space="preserve">ing social media, ads </w:t>
      </w:r>
      <w:r w:rsidR="00F91C27" w:rsidRPr="001F3C8E">
        <w:rPr>
          <w:szCs w:val="24"/>
        </w:rPr>
        <w:t xml:space="preserve">in </w:t>
      </w:r>
      <w:r w:rsidR="00F91C27" w:rsidRPr="001F3C8E">
        <w:rPr>
          <w:i/>
          <w:iCs/>
          <w:szCs w:val="24"/>
        </w:rPr>
        <w:t>The Press of Atlantic City</w:t>
      </w:r>
      <w:r w:rsidR="00F91C27" w:rsidRPr="001F3C8E">
        <w:rPr>
          <w:szCs w:val="24"/>
        </w:rPr>
        <w:t xml:space="preserve"> and </w:t>
      </w:r>
      <w:r w:rsidR="001C0AEB" w:rsidRPr="001F3C8E">
        <w:rPr>
          <w:i/>
          <w:iCs/>
          <w:szCs w:val="24"/>
        </w:rPr>
        <w:t xml:space="preserve">The Hammonton </w:t>
      </w:r>
      <w:r w:rsidR="001C0AEB" w:rsidRPr="001F3C8E">
        <w:rPr>
          <w:szCs w:val="24"/>
        </w:rPr>
        <w:t>Gazette</w:t>
      </w:r>
      <w:r w:rsidR="0040232C" w:rsidRPr="001F3C8E">
        <w:rPr>
          <w:szCs w:val="24"/>
        </w:rPr>
        <w:t xml:space="preserve"> newspapers</w:t>
      </w:r>
      <w:r w:rsidR="00E04C64" w:rsidRPr="001F3C8E">
        <w:rPr>
          <w:szCs w:val="24"/>
        </w:rPr>
        <w:t xml:space="preserve">, and fliers to partners in Table </w:t>
      </w:r>
      <w:r w:rsidR="005C3F6F" w:rsidRPr="005C3F6F">
        <w:rPr>
          <w:szCs w:val="24"/>
        </w:rPr>
        <w:t>5</w:t>
      </w:r>
      <w:r w:rsidR="00E04C64" w:rsidRPr="001F3C8E">
        <w:rPr>
          <w:szCs w:val="24"/>
        </w:rPr>
        <w:t xml:space="preserve">. </w:t>
      </w:r>
      <w:r w:rsidR="00F91C27" w:rsidRPr="001F3C8E">
        <w:rPr>
          <w:szCs w:val="24"/>
        </w:rPr>
        <w:t xml:space="preserve"> </w:t>
      </w:r>
      <w:r w:rsidR="00FF6F18" w:rsidRPr="001F3C8E">
        <w:rPr>
          <w:szCs w:val="24"/>
        </w:rPr>
        <w:t xml:space="preserve">Mullica will update its community at least quarterly and will share update materials with project partners (Table </w:t>
      </w:r>
      <w:r w:rsidR="005C3F6F" w:rsidRPr="001F3C8E">
        <w:rPr>
          <w:szCs w:val="24"/>
        </w:rPr>
        <w:t>5</w:t>
      </w:r>
      <w:r w:rsidR="00FF6F18" w:rsidRPr="001F3C8E">
        <w:rPr>
          <w:szCs w:val="24"/>
        </w:rPr>
        <w:t xml:space="preserve">) for use updating their own networks and leadership. Finally, </w:t>
      </w:r>
      <w:r w:rsidR="00CD0572" w:rsidRPr="001F3C8E">
        <w:rPr>
          <w:szCs w:val="24"/>
        </w:rPr>
        <w:t>Mullica</w:t>
      </w:r>
      <w:r w:rsidR="00FF6F18" w:rsidRPr="001F3C8E">
        <w:rPr>
          <w:szCs w:val="24"/>
        </w:rPr>
        <w:t xml:space="preserve"> will provide opportunities for written or digital comments between and at each </w:t>
      </w:r>
      <w:r w:rsidR="00FF6F18" w:rsidRPr="001F3C8E">
        <w:rPr>
          <w:szCs w:val="24"/>
        </w:rPr>
        <w:lastRenderedPageBreak/>
        <w:t xml:space="preserve">community meeting. It will </w:t>
      </w:r>
      <w:proofErr w:type="gramStart"/>
      <w:r w:rsidR="00FF6F18" w:rsidRPr="001F3C8E">
        <w:rPr>
          <w:szCs w:val="24"/>
        </w:rPr>
        <w:t>refer</w:t>
      </w:r>
      <w:proofErr w:type="gramEnd"/>
      <w:r w:rsidR="00FF6F18" w:rsidRPr="001F3C8E">
        <w:rPr>
          <w:szCs w:val="24"/>
        </w:rPr>
        <w:t xml:space="preserve"> technical </w:t>
      </w:r>
      <w:proofErr w:type="gramStart"/>
      <w:r w:rsidR="00FF6F18" w:rsidRPr="001F3C8E">
        <w:rPr>
          <w:szCs w:val="24"/>
        </w:rPr>
        <w:t>questions</w:t>
      </w:r>
      <w:proofErr w:type="gramEnd"/>
      <w:r w:rsidR="00FF6F18" w:rsidRPr="001F3C8E">
        <w:rPr>
          <w:szCs w:val="24"/>
        </w:rPr>
        <w:t xml:space="preserve"> to its qualified environmental professional (</w:t>
      </w:r>
      <w:r w:rsidR="00056974" w:rsidRPr="001F3C8E">
        <w:rPr>
          <w:szCs w:val="24"/>
        </w:rPr>
        <w:t>LSRP</w:t>
      </w:r>
      <w:r w:rsidR="00FF6F18" w:rsidRPr="001F3C8E">
        <w:rPr>
          <w:szCs w:val="24"/>
        </w:rPr>
        <w:t>, see 3.</w:t>
      </w:r>
      <w:r w:rsidR="00056974" w:rsidRPr="001F3C8E">
        <w:rPr>
          <w:szCs w:val="24"/>
        </w:rPr>
        <w:t>b-e.</w:t>
      </w:r>
      <w:r w:rsidR="00FF6F18" w:rsidRPr="001F3C8E">
        <w:rPr>
          <w:szCs w:val="24"/>
        </w:rPr>
        <w:t xml:space="preserve">) and questions about community welfare and needs to the appropriate partners (Table 7). All meetings will be in English, with interpretation available on request. Meetings will take place in ADA-compliant, accessible locations, and </w:t>
      </w:r>
      <w:r w:rsidR="00415750" w:rsidRPr="001F3C8E">
        <w:rPr>
          <w:szCs w:val="24"/>
        </w:rPr>
        <w:t xml:space="preserve">Mullica </w:t>
      </w:r>
      <w:r w:rsidR="00FF6F18" w:rsidRPr="001F3C8E">
        <w:rPr>
          <w:szCs w:val="24"/>
        </w:rPr>
        <w:t xml:space="preserve">will support transportation to and from the meeting if requested. </w:t>
      </w:r>
      <w:r w:rsidR="00415750" w:rsidRPr="001F3C8E">
        <w:rPr>
          <w:szCs w:val="24"/>
        </w:rPr>
        <w:t>Mullica</w:t>
      </w:r>
      <w:r w:rsidR="00FF6F18" w:rsidRPr="001F3C8E">
        <w:rPr>
          <w:szCs w:val="24"/>
        </w:rPr>
        <w:t xml:space="preserve"> will also meet with communities living closest to the Site to directly share information about cleanup progress, using support from its project partners (Table 7) and </w:t>
      </w:r>
      <w:r w:rsidR="00B7638F">
        <w:rPr>
          <w:szCs w:val="24"/>
        </w:rPr>
        <w:t>LSRP</w:t>
      </w:r>
      <w:r w:rsidR="00FF6F18" w:rsidRPr="001F3C8E">
        <w:rPr>
          <w:szCs w:val="24"/>
        </w:rPr>
        <w:t xml:space="preserve"> to share technical information</w:t>
      </w:r>
      <w:r w:rsidR="00600F95" w:rsidRPr="001F3C8E">
        <w:rPr>
          <w:szCs w:val="24"/>
        </w:rPr>
        <w:t xml:space="preserve">. </w:t>
      </w:r>
    </w:p>
    <w:p w14:paraId="574ACA28" w14:textId="176360F5" w:rsidR="002B289E" w:rsidRPr="001F3C8E" w:rsidRDefault="002B289E" w:rsidP="00B05C90">
      <w:pPr>
        <w:pStyle w:val="Heading1"/>
      </w:pPr>
      <w:r w:rsidRPr="001F3C8E">
        <w:t>3.</w:t>
      </w:r>
      <w:r w:rsidR="003B6F3C" w:rsidRPr="001F3C8E">
        <w:t xml:space="preserve"> Task Descriptions, Cost Estimates, and Measuring Progress</w:t>
      </w:r>
    </w:p>
    <w:p w14:paraId="450206E5" w14:textId="79350858" w:rsidR="003B6F3C" w:rsidRPr="001F3C8E" w:rsidRDefault="00A66BB4" w:rsidP="00F4056D">
      <w:pPr>
        <w:pStyle w:val="Heading2"/>
      </w:pPr>
      <w:r w:rsidRPr="001F3C8E">
        <w:t>3.</w:t>
      </w:r>
      <w:r w:rsidR="00426B89" w:rsidRPr="001F3C8E">
        <w:t>a. Proposed Cleanup Plan</w:t>
      </w:r>
    </w:p>
    <w:p w14:paraId="7629F4C9" w14:textId="56A8D8DF" w:rsidR="007A571E" w:rsidRPr="001F3C8E" w:rsidRDefault="00255BC1" w:rsidP="001D18FA">
      <w:pPr>
        <w:rPr>
          <w:szCs w:val="24"/>
        </w:rPr>
      </w:pPr>
      <w:r w:rsidRPr="001F3C8E">
        <w:rPr>
          <w:szCs w:val="24"/>
        </w:rPr>
        <w:t>The preferred cleanup alternative</w:t>
      </w:r>
      <w:r w:rsidR="00567FCA" w:rsidRPr="001F3C8E">
        <w:rPr>
          <w:szCs w:val="24"/>
        </w:rPr>
        <w:t xml:space="preserve"> (draft ABCA Alternative </w:t>
      </w:r>
      <w:r w:rsidR="0092751D" w:rsidRPr="001F3C8E">
        <w:rPr>
          <w:szCs w:val="24"/>
        </w:rPr>
        <w:t>#3)</w:t>
      </w:r>
      <w:r w:rsidRPr="001F3C8E">
        <w:rPr>
          <w:szCs w:val="24"/>
        </w:rPr>
        <w:t xml:space="preserve"> </w:t>
      </w:r>
      <w:r w:rsidR="00556F54" w:rsidRPr="001F3C8E">
        <w:rPr>
          <w:szCs w:val="24"/>
        </w:rPr>
        <w:t>includes</w:t>
      </w:r>
      <w:r w:rsidR="008F176A" w:rsidRPr="001F3C8E">
        <w:rPr>
          <w:szCs w:val="24"/>
        </w:rPr>
        <w:t xml:space="preserve"> 1)</w:t>
      </w:r>
      <w:r w:rsidR="00556F54" w:rsidRPr="001F3C8E">
        <w:rPr>
          <w:szCs w:val="24"/>
        </w:rPr>
        <w:t xml:space="preserve"> the installation of Site security fencing to prevent </w:t>
      </w:r>
      <w:r w:rsidR="00C64189" w:rsidRPr="001F3C8E">
        <w:rPr>
          <w:szCs w:val="24"/>
        </w:rPr>
        <w:t>future inadvertent/transient direct contact exposure concerns</w:t>
      </w:r>
      <w:r w:rsidR="008F176A" w:rsidRPr="001F3C8E">
        <w:rPr>
          <w:szCs w:val="24"/>
        </w:rPr>
        <w:t xml:space="preserve">, 2) completion of supplemental waste classification </w:t>
      </w:r>
      <w:r w:rsidR="00143052" w:rsidRPr="001F3C8E">
        <w:rPr>
          <w:szCs w:val="24"/>
        </w:rPr>
        <w:t xml:space="preserve">laboratory </w:t>
      </w:r>
      <w:r w:rsidR="008F176A" w:rsidRPr="001F3C8E">
        <w:rPr>
          <w:szCs w:val="24"/>
        </w:rPr>
        <w:t xml:space="preserve">analytical sampling </w:t>
      </w:r>
      <w:r w:rsidR="00143052" w:rsidRPr="001F3C8E">
        <w:rPr>
          <w:szCs w:val="24"/>
        </w:rPr>
        <w:t xml:space="preserve">in accordance with state, local, and federal regulations in addition to disposal facility requirements, 3) </w:t>
      </w:r>
      <w:r w:rsidR="001D18FA" w:rsidRPr="001F3C8E">
        <w:rPr>
          <w:szCs w:val="24"/>
        </w:rPr>
        <w:t xml:space="preserve">removal of residual solid waste piles present at the Site, and 4) disposal of </w:t>
      </w:r>
      <w:r w:rsidR="001D18FA" w:rsidRPr="001F3C8E">
        <w:rPr>
          <w:b/>
          <w:bCs/>
          <w:szCs w:val="24"/>
        </w:rPr>
        <w:t>a</w:t>
      </w:r>
      <w:r w:rsidR="00606CBF" w:rsidRPr="001F3C8E">
        <w:rPr>
          <w:b/>
          <w:bCs/>
          <w:szCs w:val="24"/>
        </w:rPr>
        <w:t xml:space="preserve">pproximately 7,800 tons of </w:t>
      </w:r>
      <w:r w:rsidR="00445BCE" w:rsidRPr="001F3C8E">
        <w:rPr>
          <w:b/>
          <w:bCs/>
          <w:szCs w:val="24"/>
        </w:rPr>
        <w:t xml:space="preserve">already </w:t>
      </w:r>
      <w:r w:rsidR="00CB6542" w:rsidRPr="001F3C8E">
        <w:rPr>
          <w:b/>
          <w:bCs/>
          <w:szCs w:val="24"/>
        </w:rPr>
        <w:t>stockpil</w:t>
      </w:r>
      <w:r w:rsidR="00E045B3" w:rsidRPr="001F3C8E">
        <w:rPr>
          <w:b/>
          <w:bCs/>
          <w:szCs w:val="24"/>
        </w:rPr>
        <w:t>ed</w:t>
      </w:r>
      <w:r w:rsidR="00DC50C6" w:rsidRPr="001F3C8E">
        <w:rPr>
          <w:b/>
          <w:bCs/>
          <w:szCs w:val="24"/>
        </w:rPr>
        <w:t>/impacted soil</w:t>
      </w:r>
      <w:r w:rsidR="00E045B3" w:rsidRPr="001F3C8E">
        <w:rPr>
          <w:b/>
          <w:bCs/>
          <w:szCs w:val="24"/>
        </w:rPr>
        <w:t xml:space="preserve"> material</w:t>
      </w:r>
      <w:r w:rsidR="00B77761" w:rsidRPr="001F3C8E">
        <w:rPr>
          <w:b/>
          <w:bCs/>
          <w:szCs w:val="24"/>
        </w:rPr>
        <w:t xml:space="preserve"> at an appropriate off-Site facility</w:t>
      </w:r>
      <w:r w:rsidR="00E045B3" w:rsidRPr="001F3C8E">
        <w:rPr>
          <w:b/>
          <w:bCs/>
          <w:szCs w:val="24"/>
        </w:rPr>
        <w:t xml:space="preserve">. </w:t>
      </w:r>
      <w:r w:rsidR="00E36AB3" w:rsidRPr="001F3C8E">
        <w:rPr>
          <w:b/>
          <w:bCs/>
          <w:szCs w:val="24"/>
        </w:rPr>
        <w:t xml:space="preserve"> </w:t>
      </w:r>
      <w:r w:rsidR="005A04E8" w:rsidRPr="001F3C8E">
        <w:rPr>
          <w:szCs w:val="24"/>
        </w:rPr>
        <w:t>Contaminated soils will be disposed of/transported off-Site during dry weather conditions to eliminate potential further run-off conc</w:t>
      </w:r>
      <w:r w:rsidR="00BD47FA" w:rsidRPr="001F3C8E">
        <w:rPr>
          <w:szCs w:val="24"/>
        </w:rPr>
        <w:t xml:space="preserve">erns in an effort to protect the directly adjacent </w:t>
      </w:r>
      <w:r w:rsidR="00AE3CF5" w:rsidRPr="001F3C8E">
        <w:rPr>
          <w:szCs w:val="24"/>
        </w:rPr>
        <w:t xml:space="preserve">sensitive </w:t>
      </w:r>
      <w:r w:rsidR="002F4945" w:rsidRPr="001F3C8E">
        <w:rPr>
          <w:szCs w:val="24"/>
        </w:rPr>
        <w:t xml:space="preserve">receptors </w:t>
      </w:r>
      <w:r w:rsidR="00BD47FA" w:rsidRPr="001F3C8E">
        <w:rPr>
          <w:szCs w:val="24"/>
        </w:rPr>
        <w:t xml:space="preserve">(see </w:t>
      </w:r>
      <w:r w:rsidR="00AE3CF5" w:rsidRPr="001F3C8E">
        <w:rPr>
          <w:szCs w:val="24"/>
        </w:rPr>
        <w:t>Section 1.d.)</w:t>
      </w:r>
      <w:r w:rsidR="005A04E8" w:rsidRPr="001F3C8E">
        <w:rPr>
          <w:szCs w:val="24"/>
        </w:rPr>
        <w:t xml:space="preserve"> </w:t>
      </w:r>
      <w:r w:rsidR="002F4945" w:rsidRPr="001F3C8E">
        <w:rPr>
          <w:szCs w:val="24"/>
        </w:rPr>
        <w:t>and shallow groundwater table (see Section 2.b.)</w:t>
      </w:r>
      <w:r w:rsidR="005A04E8" w:rsidRPr="001F3C8E">
        <w:rPr>
          <w:szCs w:val="24"/>
        </w:rPr>
        <w:t xml:space="preserve">. </w:t>
      </w:r>
      <w:r w:rsidR="00445BCE" w:rsidRPr="001F3C8E">
        <w:rPr>
          <w:szCs w:val="24"/>
        </w:rPr>
        <w:t xml:space="preserve">A detailed description of cleanup efforts is included as 3.b. – 3.e. below. </w:t>
      </w:r>
    </w:p>
    <w:p w14:paraId="22CA6823" w14:textId="67018047" w:rsidR="004365E9" w:rsidRPr="001F3C8E" w:rsidRDefault="00E946FB" w:rsidP="00F4056D">
      <w:pPr>
        <w:pStyle w:val="Heading2"/>
      </w:pPr>
      <w:r w:rsidRPr="001F3C8E">
        <w:t>Description of Tasks/Activities and Outputs</w:t>
      </w:r>
    </w:p>
    <w:p w14:paraId="1EB5CA29" w14:textId="3FA306A0" w:rsidR="00D43675" w:rsidRPr="001F3C8E" w:rsidRDefault="004365E9" w:rsidP="00F4056D">
      <w:pPr>
        <w:pStyle w:val="Heading2"/>
      </w:pPr>
      <w:r w:rsidRPr="001F3C8E">
        <w:t>3.b.</w:t>
      </w:r>
      <w:r w:rsidR="00860CDD" w:rsidRPr="001F3C8E">
        <w:t xml:space="preserve"> </w:t>
      </w:r>
      <w:bookmarkStart w:id="4" w:name="_Hlk217054543"/>
      <w:r w:rsidR="00D43675" w:rsidRPr="001F3C8E">
        <w:t>Project Implementation</w:t>
      </w:r>
      <w:bookmarkEnd w:id="4"/>
      <w:r w:rsidR="00D43675" w:rsidRPr="001F3C8E">
        <w:t xml:space="preserve">, </w:t>
      </w:r>
      <w:r w:rsidR="00860CDD" w:rsidRPr="001F3C8E">
        <w:t>3.</w:t>
      </w:r>
      <w:r w:rsidR="00530856" w:rsidRPr="001F3C8E">
        <w:t>c</w:t>
      </w:r>
      <w:r w:rsidR="00860CDD" w:rsidRPr="001F3C8E">
        <w:t xml:space="preserve">. </w:t>
      </w:r>
      <w:r w:rsidR="00D43675" w:rsidRPr="001F3C8E">
        <w:t xml:space="preserve">Anticipated Project Schedule, </w:t>
      </w:r>
      <w:r w:rsidR="00860CDD" w:rsidRPr="001F3C8E">
        <w:t>3.</w:t>
      </w:r>
      <w:r w:rsidR="00530856" w:rsidRPr="001F3C8E">
        <w:t xml:space="preserve">d. </w:t>
      </w:r>
      <w:r w:rsidR="00D43675" w:rsidRPr="001F3C8E">
        <w:t xml:space="preserve">Tasks/Activity Lead, </w:t>
      </w:r>
      <w:r w:rsidR="00530856" w:rsidRPr="001F3C8E">
        <w:t xml:space="preserve">3.e. </w:t>
      </w:r>
      <w:r w:rsidR="00D43675" w:rsidRPr="001F3C8E">
        <w:t>Outputs</w:t>
      </w:r>
    </w:p>
    <w:p w14:paraId="70D917B6" w14:textId="370EBB7A" w:rsidR="004D6FD8" w:rsidRPr="001F3C8E" w:rsidRDefault="0075728B" w:rsidP="004D6FD8">
      <w:pPr>
        <w:rPr>
          <w:szCs w:val="24"/>
        </w:rPr>
      </w:pPr>
      <w:r w:rsidRPr="001F3C8E">
        <w:rPr>
          <w:szCs w:val="24"/>
        </w:rPr>
        <w:t>Mullica does not plan to issue subawards or participant support costs under this grant. No health monitoring activities are planned at present, but future need</w:t>
      </w:r>
      <w:r w:rsidR="004B034F" w:rsidRPr="001F3C8E">
        <w:rPr>
          <w:szCs w:val="24"/>
        </w:rPr>
        <w:t>s</w:t>
      </w:r>
      <w:r w:rsidRPr="001F3C8E">
        <w:rPr>
          <w:szCs w:val="24"/>
        </w:rPr>
        <w:t xml:space="preserve"> will be evaluated based on </w:t>
      </w:r>
      <w:r w:rsidR="00CC63E5" w:rsidRPr="001F3C8E">
        <w:rPr>
          <w:szCs w:val="24"/>
        </w:rPr>
        <w:t xml:space="preserve">the </w:t>
      </w:r>
      <w:r w:rsidRPr="001F3C8E">
        <w:rPr>
          <w:szCs w:val="24"/>
        </w:rPr>
        <w:t>results of environmental assessments and in consultation with partners</w:t>
      </w:r>
    </w:p>
    <w:tbl>
      <w:tblPr>
        <w:tblW w:w="11440" w:type="dxa"/>
        <w:jc w:val="center"/>
        <w:tblLook w:val="04A0" w:firstRow="1" w:lastRow="0" w:firstColumn="1" w:lastColumn="0" w:noHBand="0" w:noVBand="1"/>
      </w:tblPr>
      <w:tblGrid>
        <w:gridCol w:w="11440"/>
      </w:tblGrid>
      <w:tr w:rsidR="00FA3143" w:rsidRPr="008F1FBA" w14:paraId="4B380EF3" w14:textId="77777777" w:rsidTr="001F3C8E">
        <w:trPr>
          <w:trHeight w:val="70"/>
          <w:jc w:val="center"/>
        </w:trPr>
        <w:tc>
          <w:tcPr>
            <w:tcW w:w="114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350CC7" w14:textId="77777777" w:rsidR="00FA3143" w:rsidRPr="00104202" w:rsidRDefault="00FA3143" w:rsidP="00FA3143">
            <w:pPr>
              <w:suppressAutoHyphens w:val="0"/>
              <w:spacing w:after="0"/>
              <w:jc w:val="both"/>
              <w:rPr>
                <w:rFonts w:ascii="Calibri" w:hAnsi="Calibri" w:cs="Calibri"/>
                <w:b/>
                <w:bCs/>
                <w:color w:val="auto"/>
                <w:sz w:val="20"/>
                <w:szCs w:val="20"/>
              </w:rPr>
            </w:pPr>
            <w:r w:rsidRPr="00104202">
              <w:rPr>
                <w:rFonts w:ascii="Calibri" w:hAnsi="Calibri" w:cs="Calibri"/>
                <w:b/>
                <w:bCs/>
                <w:color w:val="auto"/>
                <w:sz w:val="20"/>
                <w:szCs w:val="20"/>
              </w:rPr>
              <w:t>Task 1 – Project Management </w:t>
            </w:r>
          </w:p>
        </w:tc>
      </w:tr>
      <w:tr w:rsidR="00FA3143" w:rsidRPr="008F1FBA" w14:paraId="3139AD9F" w14:textId="77777777" w:rsidTr="001F3C8E">
        <w:trPr>
          <w:trHeight w:val="1250"/>
          <w:jc w:val="center"/>
        </w:trPr>
        <w:tc>
          <w:tcPr>
            <w:tcW w:w="11440" w:type="dxa"/>
            <w:tcBorders>
              <w:top w:val="nil"/>
              <w:left w:val="single" w:sz="4" w:space="0" w:color="auto"/>
              <w:bottom w:val="single" w:sz="4" w:space="0" w:color="auto"/>
              <w:right w:val="single" w:sz="4" w:space="0" w:color="auto"/>
            </w:tcBorders>
            <w:vAlign w:val="center"/>
            <w:hideMark/>
          </w:tcPr>
          <w:p w14:paraId="40A26641" w14:textId="06857D32" w:rsidR="00FA3143" w:rsidRPr="00104202" w:rsidRDefault="00C5274D" w:rsidP="00FA3143">
            <w:pPr>
              <w:suppressAutoHyphens w:val="0"/>
              <w:spacing w:after="0"/>
              <w:rPr>
                <w:rFonts w:ascii="Calibri" w:hAnsi="Calibri"/>
                <w:color w:val="auto"/>
                <w:sz w:val="20"/>
                <w:szCs w:val="20"/>
              </w:rPr>
            </w:pPr>
            <w:r w:rsidRPr="00104202">
              <w:rPr>
                <w:rFonts w:ascii="Calibri" w:hAnsi="Calibri"/>
                <w:color w:val="auto"/>
                <w:sz w:val="20"/>
                <w:szCs w:val="20"/>
              </w:rPr>
              <w:t>b</w:t>
            </w:r>
            <w:r w:rsidR="00FA3143" w:rsidRPr="00104202">
              <w:rPr>
                <w:rFonts w:ascii="Calibri" w:hAnsi="Calibri"/>
                <w:color w:val="auto"/>
                <w:sz w:val="20"/>
                <w:szCs w:val="20"/>
              </w:rPr>
              <w:t xml:space="preserve">. Project Implementation, EPA-funded tasks: Mullica will monitor schedule and budget, report on activities and accomplishments to stakeholders, and oversee </w:t>
            </w:r>
            <w:r w:rsidR="009C2A82" w:rsidRPr="00104202">
              <w:rPr>
                <w:rFonts w:ascii="Calibri" w:hAnsi="Calibri" w:cs="Calibri"/>
                <w:color w:val="000000"/>
                <w:sz w:val="20"/>
                <w:szCs w:val="20"/>
              </w:rPr>
              <w:t>LSRP</w:t>
            </w:r>
            <w:r w:rsidR="0061275E" w:rsidRPr="00104202">
              <w:rPr>
                <w:rFonts w:ascii="Calibri" w:hAnsi="Calibri" w:cs="Calibri"/>
                <w:color w:val="000000"/>
                <w:sz w:val="20"/>
                <w:szCs w:val="20"/>
              </w:rPr>
              <w:t>,</w:t>
            </w:r>
            <w:r w:rsidR="009C2A82" w:rsidRPr="00104202">
              <w:rPr>
                <w:rFonts w:ascii="Calibri" w:hAnsi="Calibri" w:cs="Calibri"/>
                <w:color w:val="000000"/>
                <w:sz w:val="20"/>
                <w:szCs w:val="20"/>
              </w:rPr>
              <w:t xml:space="preserve"> </w:t>
            </w:r>
            <w:r w:rsidR="00FA3143" w:rsidRPr="00104202">
              <w:rPr>
                <w:rFonts w:ascii="Calibri" w:hAnsi="Calibri"/>
                <w:color w:val="auto"/>
                <w:sz w:val="20"/>
                <w:szCs w:val="20"/>
              </w:rPr>
              <w:t xml:space="preserve">which will support documentation and </w:t>
            </w:r>
            <w:r w:rsidR="00250FF2" w:rsidRPr="00104202">
              <w:rPr>
                <w:rFonts w:ascii="Calibri" w:hAnsi="Calibri"/>
                <w:color w:val="auto"/>
                <w:sz w:val="20"/>
                <w:szCs w:val="20"/>
              </w:rPr>
              <w:t>Assessment, Cleanup and Redevelopment Exchange System (</w:t>
            </w:r>
            <w:r w:rsidR="00FA3143" w:rsidRPr="00104202">
              <w:rPr>
                <w:rFonts w:ascii="Calibri" w:hAnsi="Calibri"/>
                <w:color w:val="auto"/>
                <w:sz w:val="20"/>
                <w:szCs w:val="20"/>
              </w:rPr>
              <w:t>ACRES</w:t>
            </w:r>
            <w:r w:rsidR="00250FF2" w:rsidRPr="00104202">
              <w:rPr>
                <w:rFonts w:ascii="Calibri" w:hAnsi="Calibri"/>
                <w:color w:val="auto"/>
                <w:sz w:val="20"/>
                <w:szCs w:val="20"/>
              </w:rPr>
              <w:t>)</w:t>
            </w:r>
            <w:r w:rsidR="00FA3143" w:rsidRPr="00104202">
              <w:rPr>
                <w:rFonts w:ascii="Calibri" w:hAnsi="Calibri"/>
                <w:color w:val="auto"/>
                <w:sz w:val="20"/>
                <w:szCs w:val="20"/>
              </w:rPr>
              <w:t xml:space="preserve">/quarterly reporting. </w:t>
            </w:r>
            <w:r w:rsidR="00D70AFB" w:rsidRPr="00104202">
              <w:rPr>
                <w:rFonts w:ascii="Calibri" w:hAnsi="Calibri"/>
                <w:color w:val="auto"/>
                <w:sz w:val="20"/>
                <w:szCs w:val="20"/>
              </w:rPr>
              <w:t>Mullica</w:t>
            </w:r>
            <w:r w:rsidR="00FA3143" w:rsidRPr="00104202">
              <w:rPr>
                <w:rFonts w:ascii="Calibri" w:hAnsi="Calibri"/>
                <w:color w:val="auto"/>
                <w:sz w:val="20"/>
                <w:szCs w:val="20"/>
              </w:rPr>
              <w:t xml:space="preserve"> and </w:t>
            </w:r>
            <w:r w:rsidR="009C2A82" w:rsidRPr="00104202">
              <w:rPr>
                <w:rFonts w:ascii="Calibri" w:hAnsi="Calibri" w:cs="Calibri"/>
                <w:color w:val="000000"/>
                <w:sz w:val="20"/>
                <w:szCs w:val="20"/>
              </w:rPr>
              <w:t xml:space="preserve">LSRP </w:t>
            </w:r>
            <w:r w:rsidR="00FA3143" w:rsidRPr="00104202">
              <w:rPr>
                <w:rFonts w:ascii="Calibri" w:hAnsi="Calibri"/>
                <w:color w:val="auto"/>
                <w:sz w:val="20"/>
                <w:szCs w:val="20"/>
              </w:rPr>
              <w:t xml:space="preserve">will </w:t>
            </w:r>
            <w:r w:rsidR="009C2A82" w:rsidRPr="00104202">
              <w:rPr>
                <w:rFonts w:ascii="Calibri" w:hAnsi="Calibri" w:cs="Calibri"/>
                <w:color w:val="000000"/>
                <w:sz w:val="20"/>
                <w:szCs w:val="20"/>
              </w:rPr>
              <w:t xml:space="preserve">typically </w:t>
            </w:r>
            <w:r w:rsidR="00FA3143" w:rsidRPr="00104202">
              <w:rPr>
                <w:rFonts w:ascii="Calibri" w:hAnsi="Calibri"/>
                <w:color w:val="auto"/>
                <w:sz w:val="20"/>
                <w:szCs w:val="20"/>
              </w:rPr>
              <w:t xml:space="preserve">meet monthly. This task includes grant administration, financial management, procurement, contractor oversight, coordination with EPA and NJDEP, preparation of quarterly and final reports, and compliance with 2 CFR Part 200, Davis-Bacon (DBA) standards (Section 41101 of the Infrastructure Investment and Jobs Act), and applicable federal and </w:t>
            </w:r>
            <w:r w:rsidR="00D738FA" w:rsidRPr="00104202">
              <w:rPr>
                <w:rFonts w:ascii="Calibri" w:hAnsi="Calibri"/>
                <w:color w:val="auto"/>
                <w:sz w:val="20"/>
                <w:szCs w:val="20"/>
              </w:rPr>
              <w:t>s</w:t>
            </w:r>
            <w:r w:rsidR="00FA3143" w:rsidRPr="00104202">
              <w:rPr>
                <w:rFonts w:ascii="Calibri" w:hAnsi="Calibri"/>
                <w:color w:val="auto"/>
                <w:sz w:val="20"/>
                <w:szCs w:val="20"/>
              </w:rPr>
              <w:t>tate requirements.</w:t>
            </w:r>
          </w:p>
        </w:tc>
      </w:tr>
      <w:tr w:rsidR="00FA3143" w:rsidRPr="008F1FBA" w14:paraId="34C52F09" w14:textId="77777777" w:rsidTr="001F3C8E">
        <w:trPr>
          <w:trHeight w:val="1421"/>
          <w:jc w:val="center"/>
        </w:trPr>
        <w:tc>
          <w:tcPr>
            <w:tcW w:w="11440" w:type="dxa"/>
            <w:tcBorders>
              <w:top w:val="nil"/>
              <w:left w:val="single" w:sz="4" w:space="0" w:color="auto"/>
              <w:bottom w:val="single" w:sz="4" w:space="0" w:color="auto"/>
              <w:right w:val="single" w:sz="4" w:space="0" w:color="auto"/>
            </w:tcBorders>
            <w:vAlign w:val="center"/>
            <w:hideMark/>
          </w:tcPr>
          <w:p w14:paraId="0CC676B8" w14:textId="1D544EBA" w:rsidR="00FA3143" w:rsidRPr="00104202" w:rsidRDefault="00C5274D" w:rsidP="00FA3143">
            <w:pPr>
              <w:suppressAutoHyphens w:val="0"/>
              <w:spacing w:after="0"/>
              <w:rPr>
                <w:rFonts w:ascii="Calibri" w:hAnsi="Calibri"/>
                <w:color w:val="auto"/>
                <w:sz w:val="20"/>
                <w:szCs w:val="20"/>
              </w:rPr>
            </w:pPr>
            <w:r w:rsidRPr="00104202">
              <w:rPr>
                <w:rFonts w:ascii="Calibri" w:hAnsi="Calibri"/>
                <w:color w:val="auto"/>
                <w:sz w:val="20"/>
                <w:szCs w:val="20"/>
              </w:rPr>
              <w:t>c</w:t>
            </w:r>
            <w:r w:rsidR="00FA3143" w:rsidRPr="00104202">
              <w:rPr>
                <w:rFonts w:ascii="Calibri" w:hAnsi="Calibri"/>
                <w:color w:val="auto"/>
                <w:sz w:val="20"/>
                <w:szCs w:val="20"/>
              </w:rPr>
              <w:t xml:space="preserve">. Anticipated Project Schedule: Ongoing throughout grant period. </w:t>
            </w:r>
            <w:r w:rsidR="00F12358" w:rsidRPr="00104202">
              <w:rPr>
                <w:rFonts w:ascii="Calibri" w:hAnsi="Calibri"/>
                <w:color w:val="auto"/>
                <w:sz w:val="20"/>
                <w:szCs w:val="20"/>
              </w:rPr>
              <w:t>Mullica</w:t>
            </w:r>
            <w:r w:rsidR="00325AC5" w:rsidRPr="00104202">
              <w:rPr>
                <w:rFonts w:ascii="Calibri" w:hAnsi="Calibri"/>
                <w:color w:val="auto"/>
                <w:sz w:val="20"/>
                <w:szCs w:val="20"/>
              </w:rPr>
              <w:t xml:space="preserve"> has retained an </w:t>
            </w:r>
            <w:r w:rsidR="00383C52" w:rsidRPr="00104202">
              <w:rPr>
                <w:rFonts w:ascii="Calibri" w:hAnsi="Calibri" w:cs="Calibri"/>
                <w:color w:val="000000"/>
                <w:sz w:val="20"/>
                <w:szCs w:val="20"/>
              </w:rPr>
              <w:t>LSRP</w:t>
            </w:r>
            <w:r w:rsidR="00500BF0" w:rsidRPr="00104202">
              <w:rPr>
                <w:rFonts w:ascii="Calibri" w:hAnsi="Calibri" w:cs="Calibri"/>
                <w:color w:val="000000"/>
                <w:sz w:val="20"/>
                <w:szCs w:val="20"/>
              </w:rPr>
              <w:t xml:space="preserve"> and remediation contractor</w:t>
            </w:r>
            <w:r w:rsidR="00383C52" w:rsidRPr="00104202">
              <w:rPr>
                <w:rFonts w:ascii="Calibri" w:hAnsi="Calibri"/>
                <w:color w:val="auto"/>
                <w:sz w:val="20"/>
                <w:szCs w:val="20"/>
              </w:rPr>
              <w:t xml:space="preserve"> </w:t>
            </w:r>
            <w:r w:rsidR="00E932FE" w:rsidRPr="00104202">
              <w:rPr>
                <w:rFonts w:ascii="Calibri" w:hAnsi="Calibri"/>
                <w:color w:val="auto"/>
                <w:sz w:val="20"/>
                <w:szCs w:val="20"/>
              </w:rPr>
              <w:t xml:space="preserve">for the </w:t>
            </w:r>
            <w:r w:rsidR="00806684" w:rsidRPr="00104202">
              <w:rPr>
                <w:rFonts w:ascii="Calibri" w:hAnsi="Calibri"/>
                <w:color w:val="auto"/>
                <w:sz w:val="20"/>
                <w:szCs w:val="20"/>
              </w:rPr>
              <w:t>Site</w:t>
            </w:r>
            <w:r w:rsidR="00E932FE" w:rsidRPr="00104202">
              <w:rPr>
                <w:rFonts w:ascii="Calibri" w:hAnsi="Calibri"/>
                <w:color w:val="auto"/>
                <w:sz w:val="20"/>
                <w:szCs w:val="20"/>
              </w:rPr>
              <w:t xml:space="preserve"> </w:t>
            </w:r>
            <w:r w:rsidR="00E4172E" w:rsidRPr="00104202">
              <w:rPr>
                <w:rFonts w:ascii="Calibri" w:hAnsi="Calibri"/>
                <w:color w:val="auto"/>
                <w:sz w:val="20"/>
                <w:szCs w:val="20"/>
              </w:rPr>
              <w:t xml:space="preserve">using a fair and open process </w:t>
            </w:r>
            <w:r w:rsidR="00E932FE" w:rsidRPr="00104202">
              <w:rPr>
                <w:rFonts w:ascii="Calibri" w:hAnsi="Calibri"/>
                <w:color w:val="auto"/>
                <w:sz w:val="20"/>
                <w:szCs w:val="20"/>
              </w:rPr>
              <w:t xml:space="preserve">in accordance with New Jersey </w:t>
            </w:r>
            <w:r w:rsidR="00E4172E" w:rsidRPr="00104202">
              <w:rPr>
                <w:rFonts w:ascii="Calibri" w:hAnsi="Calibri"/>
                <w:color w:val="auto"/>
                <w:sz w:val="20"/>
                <w:szCs w:val="20"/>
              </w:rPr>
              <w:t>Local Public Contracts Law (</w:t>
            </w:r>
            <w:r w:rsidR="00F12358" w:rsidRPr="00104202">
              <w:rPr>
                <w:rFonts w:ascii="Calibri" w:hAnsi="Calibri"/>
                <w:color w:val="auto"/>
                <w:sz w:val="20"/>
                <w:szCs w:val="20"/>
              </w:rPr>
              <w:t>New Jersey Statutes Annotated [</w:t>
            </w:r>
            <w:r w:rsidR="00642EF2" w:rsidRPr="00104202">
              <w:rPr>
                <w:rFonts w:ascii="Calibri" w:hAnsi="Calibri"/>
                <w:color w:val="auto"/>
                <w:sz w:val="20"/>
                <w:szCs w:val="20"/>
              </w:rPr>
              <w:t>N.J.S.A.</w:t>
            </w:r>
            <w:r w:rsidR="00F12358" w:rsidRPr="00104202">
              <w:rPr>
                <w:rFonts w:ascii="Calibri" w:hAnsi="Calibri"/>
                <w:color w:val="auto"/>
                <w:sz w:val="20"/>
                <w:szCs w:val="20"/>
              </w:rPr>
              <w:t>]</w:t>
            </w:r>
            <w:r w:rsidR="00642EF2" w:rsidRPr="00104202">
              <w:rPr>
                <w:rFonts w:ascii="Calibri" w:hAnsi="Calibri"/>
                <w:color w:val="auto"/>
                <w:sz w:val="20"/>
                <w:szCs w:val="20"/>
              </w:rPr>
              <w:t xml:space="preserve"> </w:t>
            </w:r>
            <w:r w:rsidR="00E4172E" w:rsidRPr="00104202">
              <w:rPr>
                <w:rFonts w:ascii="Calibri" w:hAnsi="Calibri"/>
                <w:color w:val="auto"/>
                <w:sz w:val="20"/>
                <w:szCs w:val="20"/>
              </w:rPr>
              <w:t>40</w:t>
            </w:r>
            <w:r w:rsidR="004321FC" w:rsidRPr="00104202">
              <w:rPr>
                <w:rFonts w:ascii="Calibri" w:hAnsi="Calibri"/>
                <w:color w:val="auto"/>
                <w:sz w:val="20"/>
                <w:szCs w:val="20"/>
              </w:rPr>
              <w:t>A:11)</w:t>
            </w:r>
            <w:r w:rsidR="004218A0" w:rsidRPr="00104202">
              <w:rPr>
                <w:rFonts w:ascii="Calibri" w:hAnsi="Calibri"/>
                <w:color w:val="auto"/>
                <w:sz w:val="20"/>
                <w:szCs w:val="20"/>
              </w:rPr>
              <w:t xml:space="preserve">, which </w:t>
            </w:r>
            <w:r w:rsidR="008F068D" w:rsidRPr="00104202">
              <w:rPr>
                <w:rFonts w:ascii="Calibri" w:hAnsi="Calibri"/>
                <w:color w:val="auto"/>
                <w:sz w:val="20"/>
                <w:szCs w:val="20"/>
              </w:rPr>
              <w:t xml:space="preserve">the </w:t>
            </w:r>
            <w:r w:rsidR="002C0D82" w:rsidRPr="00104202">
              <w:rPr>
                <w:rFonts w:ascii="Calibri" w:hAnsi="Calibri"/>
                <w:color w:val="auto"/>
                <w:sz w:val="20"/>
                <w:szCs w:val="20"/>
              </w:rPr>
              <w:t>t</w:t>
            </w:r>
            <w:r w:rsidR="008F068D" w:rsidRPr="00104202">
              <w:rPr>
                <w:rFonts w:ascii="Calibri" w:hAnsi="Calibri"/>
                <w:color w:val="auto"/>
                <w:sz w:val="20"/>
                <w:szCs w:val="20"/>
              </w:rPr>
              <w:t>ownship understands to</w:t>
            </w:r>
            <w:r w:rsidR="00FA3143" w:rsidRPr="00104202">
              <w:rPr>
                <w:rFonts w:ascii="Calibri" w:hAnsi="Calibri"/>
                <w:color w:val="auto"/>
                <w:sz w:val="20"/>
                <w:szCs w:val="20"/>
              </w:rPr>
              <w:t xml:space="preserve"> compl</w:t>
            </w:r>
            <w:r w:rsidR="002C0D82" w:rsidRPr="00104202">
              <w:rPr>
                <w:rFonts w:ascii="Calibri" w:hAnsi="Calibri"/>
                <w:color w:val="auto"/>
                <w:sz w:val="20"/>
                <w:szCs w:val="20"/>
              </w:rPr>
              <w:t>y</w:t>
            </w:r>
            <w:r w:rsidR="00FA3143" w:rsidRPr="00104202">
              <w:rPr>
                <w:rFonts w:ascii="Calibri" w:hAnsi="Calibri"/>
                <w:color w:val="auto"/>
                <w:sz w:val="20"/>
                <w:szCs w:val="20"/>
              </w:rPr>
              <w:t xml:space="preserve"> with 2 CFR 200.317-326 and all applicable EPA guidelines and best practices. </w:t>
            </w:r>
            <w:r w:rsidR="0099749A" w:rsidRPr="00104202">
              <w:rPr>
                <w:rFonts w:ascii="Calibri" w:hAnsi="Calibri"/>
                <w:color w:val="auto"/>
                <w:sz w:val="20"/>
                <w:szCs w:val="20"/>
              </w:rPr>
              <w:t xml:space="preserve">The LSRP’s approved scope of work includes </w:t>
            </w:r>
            <w:r w:rsidR="004C5FB2" w:rsidRPr="00104202">
              <w:rPr>
                <w:rFonts w:ascii="Calibri" w:hAnsi="Calibri"/>
                <w:color w:val="auto"/>
                <w:sz w:val="20"/>
                <w:szCs w:val="20"/>
              </w:rPr>
              <w:t xml:space="preserve">applying for and obtaining </w:t>
            </w:r>
            <w:r w:rsidR="00CC535B" w:rsidRPr="00104202">
              <w:rPr>
                <w:rFonts w:ascii="Calibri" w:hAnsi="Calibri"/>
                <w:color w:val="auto"/>
                <w:sz w:val="20"/>
                <w:szCs w:val="20"/>
              </w:rPr>
              <w:t xml:space="preserve">agency permits anticipated </w:t>
            </w:r>
            <w:r w:rsidR="003D1730" w:rsidRPr="00104202">
              <w:rPr>
                <w:rFonts w:ascii="Calibri" w:hAnsi="Calibri"/>
                <w:color w:val="auto"/>
                <w:sz w:val="20"/>
                <w:szCs w:val="20"/>
              </w:rPr>
              <w:t>for the work. The grant</w:t>
            </w:r>
            <w:r w:rsidR="009772D7" w:rsidRPr="00104202">
              <w:rPr>
                <w:rFonts w:ascii="Calibri" w:hAnsi="Calibri"/>
                <w:color w:val="auto"/>
                <w:sz w:val="20"/>
                <w:szCs w:val="20"/>
              </w:rPr>
              <w:t>-</w:t>
            </w:r>
            <w:r w:rsidR="003D1730" w:rsidRPr="00104202">
              <w:rPr>
                <w:rFonts w:ascii="Calibri" w:hAnsi="Calibri"/>
                <w:color w:val="auto"/>
                <w:sz w:val="20"/>
                <w:szCs w:val="20"/>
              </w:rPr>
              <w:t>funded w</w:t>
            </w:r>
            <w:r w:rsidR="00FA3143" w:rsidRPr="00104202">
              <w:rPr>
                <w:rFonts w:ascii="Calibri" w:hAnsi="Calibri"/>
                <w:color w:val="auto"/>
                <w:sz w:val="20"/>
                <w:szCs w:val="20"/>
              </w:rPr>
              <w:t xml:space="preserve">ork </w:t>
            </w:r>
            <w:r w:rsidR="0099749A" w:rsidRPr="00104202">
              <w:rPr>
                <w:rFonts w:ascii="Calibri" w:hAnsi="Calibri"/>
                <w:color w:val="auto"/>
                <w:sz w:val="20"/>
                <w:szCs w:val="20"/>
              </w:rPr>
              <w:t>is expected to</w:t>
            </w:r>
            <w:r w:rsidR="00FA3143" w:rsidRPr="00104202">
              <w:rPr>
                <w:rFonts w:ascii="Calibri" w:hAnsi="Calibri"/>
                <w:color w:val="auto"/>
                <w:sz w:val="20"/>
                <w:szCs w:val="20"/>
              </w:rPr>
              <w:t xml:space="preserve"> begin </w:t>
            </w:r>
            <w:r w:rsidR="003D1730" w:rsidRPr="00104202">
              <w:rPr>
                <w:rFonts w:ascii="Calibri" w:hAnsi="Calibri"/>
                <w:color w:val="auto"/>
                <w:sz w:val="20"/>
                <w:szCs w:val="20"/>
              </w:rPr>
              <w:t xml:space="preserve">immediately </w:t>
            </w:r>
            <w:r w:rsidR="00FA3143" w:rsidRPr="00104202">
              <w:rPr>
                <w:rFonts w:ascii="Calibri" w:hAnsi="Calibri"/>
                <w:color w:val="auto"/>
                <w:sz w:val="20"/>
                <w:szCs w:val="20"/>
              </w:rPr>
              <w:t>upon completion of EPA-approved workplan</w:t>
            </w:r>
            <w:r w:rsidR="003D1730" w:rsidRPr="00104202">
              <w:rPr>
                <w:rFonts w:ascii="Calibri" w:hAnsi="Calibri"/>
                <w:color w:val="auto"/>
                <w:sz w:val="20"/>
                <w:szCs w:val="20"/>
              </w:rPr>
              <w:t xml:space="preserve"> and after obtaining the required permits</w:t>
            </w:r>
            <w:r w:rsidR="00FA3143" w:rsidRPr="00104202">
              <w:rPr>
                <w:rFonts w:ascii="Calibri" w:hAnsi="Calibri"/>
                <w:color w:val="auto"/>
                <w:sz w:val="20"/>
                <w:szCs w:val="20"/>
              </w:rPr>
              <w:t xml:space="preserve">, assumed October 1, 2026, to anticipated project closure on September 30, 2028. </w:t>
            </w:r>
          </w:p>
        </w:tc>
      </w:tr>
      <w:tr w:rsidR="00FA3143" w:rsidRPr="008F1FBA" w14:paraId="1CF1C1A0" w14:textId="77777777" w:rsidTr="001F3C8E">
        <w:trPr>
          <w:trHeight w:val="71"/>
          <w:jc w:val="center"/>
        </w:trPr>
        <w:tc>
          <w:tcPr>
            <w:tcW w:w="11440" w:type="dxa"/>
            <w:tcBorders>
              <w:top w:val="nil"/>
              <w:left w:val="single" w:sz="4" w:space="0" w:color="auto"/>
              <w:bottom w:val="single" w:sz="4" w:space="0" w:color="auto"/>
              <w:right w:val="single" w:sz="4" w:space="0" w:color="auto"/>
            </w:tcBorders>
            <w:vAlign w:val="center"/>
            <w:hideMark/>
          </w:tcPr>
          <w:p w14:paraId="0BAA3CF9" w14:textId="465D0760" w:rsidR="00FA3143" w:rsidRPr="00104202" w:rsidRDefault="00C5274D" w:rsidP="00FA3143">
            <w:pPr>
              <w:suppressAutoHyphens w:val="0"/>
              <w:spacing w:after="0"/>
              <w:rPr>
                <w:rFonts w:ascii="Calibri" w:hAnsi="Calibri"/>
                <w:color w:val="auto"/>
                <w:sz w:val="20"/>
                <w:szCs w:val="20"/>
              </w:rPr>
            </w:pPr>
            <w:proofErr w:type="spellStart"/>
            <w:r w:rsidRPr="00104202">
              <w:rPr>
                <w:rFonts w:ascii="Calibri" w:hAnsi="Calibri"/>
                <w:color w:val="auto"/>
                <w:sz w:val="20"/>
                <w:szCs w:val="20"/>
              </w:rPr>
              <w:t>d</w:t>
            </w:r>
            <w:r w:rsidR="00FA3143" w:rsidRPr="00104202">
              <w:rPr>
                <w:rFonts w:ascii="Calibri" w:hAnsi="Calibri"/>
                <w:color w:val="auto"/>
                <w:sz w:val="20"/>
                <w:szCs w:val="20"/>
              </w:rPr>
              <w:t>.</w:t>
            </w:r>
            <w:proofErr w:type="spellEnd"/>
            <w:r w:rsidR="00FA3143" w:rsidRPr="00104202">
              <w:rPr>
                <w:rFonts w:ascii="Calibri" w:hAnsi="Calibri"/>
                <w:color w:val="auto"/>
                <w:sz w:val="20"/>
                <w:szCs w:val="20"/>
              </w:rPr>
              <w:t xml:space="preserve"> Task/Activity Lead: Mullica (Applicant and Site Owner), Assist: </w:t>
            </w:r>
            <w:r w:rsidR="00C05B60" w:rsidRPr="00104202">
              <w:rPr>
                <w:rFonts w:ascii="Calibri" w:hAnsi="Calibri" w:cs="Calibri"/>
                <w:color w:val="000000"/>
                <w:sz w:val="20"/>
                <w:szCs w:val="20"/>
              </w:rPr>
              <w:t>LSRP</w:t>
            </w:r>
          </w:p>
        </w:tc>
      </w:tr>
      <w:tr w:rsidR="00FA3143" w:rsidRPr="008F1FBA" w14:paraId="1DFC4169" w14:textId="77777777" w:rsidTr="001F3C8E">
        <w:trPr>
          <w:trHeight w:val="566"/>
          <w:jc w:val="center"/>
        </w:trPr>
        <w:tc>
          <w:tcPr>
            <w:tcW w:w="11440" w:type="dxa"/>
            <w:tcBorders>
              <w:top w:val="nil"/>
              <w:left w:val="single" w:sz="4" w:space="0" w:color="auto"/>
              <w:bottom w:val="single" w:sz="4" w:space="0" w:color="auto"/>
              <w:right w:val="single" w:sz="4" w:space="0" w:color="auto"/>
            </w:tcBorders>
            <w:vAlign w:val="center"/>
            <w:hideMark/>
          </w:tcPr>
          <w:p w14:paraId="019DCE34" w14:textId="19F039DE" w:rsidR="00FA3143" w:rsidRPr="00104202" w:rsidRDefault="00C5274D" w:rsidP="00FA3143">
            <w:pPr>
              <w:suppressAutoHyphens w:val="0"/>
              <w:spacing w:after="0"/>
              <w:jc w:val="both"/>
              <w:rPr>
                <w:rFonts w:ascii="Calibri" w:hAnsi="Calibri"/>
                <w:color w:val="auto"/>
                <w:sz w:val="20"/>
                <w:szCs w:val="20"/>
              </w:rPr>
            </w:pPr>
            <w:r w:rsidRPr="00104202">
              <w:rPr>
                <w:rFonts w:ascii="Calibri" w:hAnsi="Calibri"/>
                <w:color w:val="auto"/>
                <w:sz w:val="20"/>
                <w:szCs w:val="20"/>
              </w:rPr>
              <w:t>e</w:t>
            </w:r>
            <w:r w:rsidR="00FA3143" w:rsidRPr="00104202">
              <w:rPr>
                <w:rFonts w:ascii="Calibri" w:hAnsi="Calibri"/>
                <w:color w:val="auto"/>
                <w:sz w:val="20"/>
                <w:szCs w:val="20"/>
              </w:rPr>
              <w:t xml:space="preserve">. Outputs: Up to 24 project coordination meetings, monthly </w:t>
            </w:r>
            <w:r w:rsidR="003266E4" w:rsidRPr="00104202">
              <w:rPr>
                <w:rFonts w:ascii="Calibri" w:hAnsi="Calibri"/>
                <w:color w:val="auto"/>
                <w:sz w:val="20"/>
                <w:szCs w:val="20"/>
              </w:rPr>
              <w:t>one</w:t>
            </w:r>
            <w:r w:rsidR="00FA3143" w:rsidRPr="00104202">
              <w:rPr>
                <w:rFonts w:ascii="Calibri" w:hAnsi="Calibri"/>
                <w:color w:val="auto"/>
                <w:sz w:val="20"/>
                <w:szCs w:val="20"/>
              </w:rPr>
              <w:t xml:space="preserve">-page </w:t>
            </w:r>
            <w:r w:rsidR="00991B31" w:rsidRPr="00104202">
              <w:rPr>
                <w:rFonts w:ascii="Calibri" w:hAnsi="Calibri"/>
                <w:color w:val="auto"/>
                <w:sz w:val="20"/>
                <w:szCs w:val="20"/>
              </w:rPr>
              <w:t>LSRP</w:t>
            </w:r>
            <w:r w:rsidR="00FA3143" w:rsidRPr="00104202">
              <w:rPr>
                <w:rFonts w:ascii="Calibri" w:hAnsi="Calibri"/>
                <w:color w:val="auto"/>
                <w:sz w:val="20"/>
                <w:szCs w:val="20"/>
              </w:rPr>
              <w:t xml:space="preserve"> updates summarizing completed and anticipated reports, NJDEP-regulatory reporting requirements, </w:t>
            </w:r>
            <w:r w:rsidR="003266E4" w:rsidRPr="00104202">
              <w:rPr>
                <w:rFonts w:ascii="Calibri" w:hAnsi="Calibri"/>
                <w:color w:val="auto"/>
                <w:sz w:val="20"/>
                <w:szCs w:val="20"/>
              </w:rPr>
              <w:t>eight</w:t>
            </w:r>
            <w:r w:rsidR="00FA3143" w:rsidRPr="00104202">
              <w:rPr>
                <w:rFonts w:ascii="Calibri" w:hAnsi="Calibri"/>
                <w:color w:val="auto"/>
                <w:sz w:val="20"/>
                <w:szCs w:val="20"/>
              </w:rPr>
              <w:t xml:space="preserve"> quarterly reports, </w:t>
            </w:r>
            <w:r w:rsidR="003266E4" w:rsidRPr="00104202">
              <w:rPr>
                <w:rFonts w:ascii="Calibri" w:hAnsi="Calibri"/>
                <w:color w:val="auto"/>
                <w:sz w:val="20"/>
                <w:szCs w:val="20"/>
              </w:rPr>
              <w:t>three</w:t>
            </w:r>
            <w:r w:rsidR="00FA3143" w:rsidRPr="00104202">
              <w:rPr>
                <w:rFonts w:ascii="Calibri" w:hAnsi="Calibri"/>
                <w:color w:val="auto"/>
                <w:sz w:val="20"/>
                <w:szCs w:val="20"/>
              </w:rPr>
              <w:t xml:space="preserve"> Federal Financial Reports, up to </w:t>
            </w:r>
            <w:r w:rsidR="003266E4" w:rsidRPr="00104202">
              <w:rPr>
                <w:rFonts w:ascii="Calibri" w:hAnsi="Calibri"/>
                <w:color w:val="auto"/>
                <w:sz w:val="20"/>
                <w:szCs w:val="20"/>
              </w:rPr>
              <w:t>eight</w:t>
            </w:r>
            <w:r w:rsidR="00FA3143" w:rsidRPr="00104202">
              <w:rPr>
                <w:rFonts w:ascii="Calibri" w:hAnsi="Calibri"/>
                <w:color w:val="auto"/>
                <w:sz w:val="20"/>
                <w:szCs w:val="20"/>
              </w:rPr>
              <w:t xml:space="preserve"> ACRES updates, and one closeout report detailing grant activities, cleanup progress</w:t>
            </w:r>
            <w:r w:rsidR="003266E4" w:rsidRPr="00104202">
              <w:rPr>
                <w:rFonts w:ascii="Calibri" w:hAnsi="Calibri"/>
                <w:color w:val="auto"/>
                <w:sz w:val="20"/>
                <w:szCs w:val="20"/>
              </w:rPr>
              <w:t>,</w:t>
            </w:r>
            <w:r w:rsidR="00FA3143" w:rsidRPr="00104202">
              <w:rPr>
                <w:rFonts w:ascii="Calibri" w:hAnsi="Calibri"/>
                <w:color w:val="auto"/>
                <w:sz w:val="20"/>
                <w:szCs w:val="20"/>
              </w:rPr>
              <w:t xml:space="preserve"> and any remaining needs. </w:t>
            </w:r>
          </w:p>
        </w:tc>
      </w:tr>
      <w:tr w:rsidR="00FA3143" w:rsidRPr="008F1FBA" w14:paraId="77C795D7" w14:textId="77777777" w:rsidTr="001F3C8E">
        <w:trPr>
          <w:trHeight w:val="70"/>
          <w:jc w:val="center"/>
        </w:trPr>
        <w:tc>
          <w:tcPr>
            <w:tcW w:w="11440" w:type="dxa"/>
            <w:tcBorders>
              <w:top w:val="nil"/>
              <w:left w:val="single" w:sz="4" w:space="0" w:color="auto"/>
              <w:bottom w:val="single" w:sz="4" w:space="0" w:color="auto"/>
              <w:right w:val="single" w:sz="4" w:space="0" w:color="auto"/>
            </w:tcBorders>
            <w:shd w:val="clear" w:color="000000" w:fill="F2F2F2"/>
            <w:vAlign w:val="center"/>
            <w:hideMark/>
          </w:tcPr>
          <w:p w14:paraId="71662C8A" w14:textId="77777777" w:rsidR="00FA3143" w:rsidRPr="00104202" w:rsidRDefault="00FA3143" w:rsidP="00FA3143">
            <w:pPr>
              <w:suppressAutoHyphens w:val="0"/>
              <w:spacing w:after="0"/>
              <w:jc w:val="both"/>
              <w:rPr>
                <w:rFonts w:ascii="Calibri" w:hAnsi="Calibri" w:cs="Calibri"/>
                <w:b/>
                <w:bCs/>
                <w:color w:val="auto"/>
                <w:sz w:val="20"/>
                <w:szCs w:val="20"/>
              </w:rPr>
            </w:pPr>
            <w:r w:rsidRPr="00104202">
              <w:rPr>
                <w:rFonts w:ascii="Calibri" w:hAnsi="Calibri" w:cs="Calibri"/>
                <w:b/>
                <w:bCs/>
                <w:color w:val="auto"/>
                <w:sz w:val="20"/>
                <w:szCs w:val="20"/>
              </w:rPr>
              <w:t xml:space="preserve">Task 2 – Community Engagement </w:t>
            </w:r>
          </w:p>
        </w:tc>
      </w:tr>
      <w:tr w:rsidR="00FA3143" w:rsidRPr="008F1FBA" w14:paraId="3E4C1750" w14:textId="77777777" w:rsidTr="001F3C8E">
        <w:trPr>
          <w:trHeight w:val="710"/>
          <w:jc w:val="center"/>
        </w:trPr>
        <w:tc>
          <w:tcPr>
            <w:tcW w:w="11440" w:type="dxa"/>
            <w:tcBorders>
              <w:top w:val="nil"/>
              <w:left w:val="single" w:sz="4" w:space="0" w:color="auto"/>
              <w:bottom w:val="single" w:sz="4" w:space="0" w:color="auto"/>
              <w:right w:val="single" w:sz="4" w:space="0" w:color="auto"/>
            </w:tcBorders>
            <w:vAlign w:val="center"/>
            <w:hideMark/>
          </w:tcPr>
          <w:p w14:paraId="3ECC4A53" w14:textId="0C51F5C8" w:rsidR="00FA3143" w:rsidRPr="00104202" w:rsidRDefault="004C40BB" w:rsidP="00FA3143">
            <w:pPr>
              <w:suppressAutoHyphens w:val="0"/>
              <w:spacing w:after="0"/>
              <w:rPr>
                <w:rFonts w:ascii="Calibri" w:hAnsi="Calibri" w:cs="Calibri"/>
                <w:color w:val="000000"/>
                <w:sz w:val="20"/>
                <w:szCs w:val="20"/>
              </w:rPr>
            </w:pPr>
            <w:r w:rsidRPr="00104202">
              <w:rPr>
                <w:rFonts w:ascii="Calibri" w:hAnsi="Calibri" w:cs="Calibri"/>
                <w:color w:val="000000"/>
                <w:sz w:val="20"/>
                <w:szCs w:val="20"/>
              </w:rPr>
              <w:t>b</w:t>
            </w:r>
            <w:r w:rsidR="00FA3143" w:rsidRPr="00104202">
              <w:rPr>
                <w:rFonts w:ascii="Calibri" w:hAnsi="Calibri" w:cs="Calibri"/>
                <w:color w:val="000000"/>
                <w:sz w:val="20"/>
                <w:szCs w:val="20"/>
              </w:rPr>
              <w:t>. Project Implementation, EPA-f</w:t>
            </w:r>
            <w:r w:rsidR="00FA3143" w:rsidRPr="00104202">
              <w:rPr>
                <w:rFonts w:ascii="Calibri" w:hAnsi="Calibri"/>
                <w:color w:val="auto"/>
                <w:sz w:val="20"/>
                <w:szCs w:val="20"/>
              </w:rPr>
              <w:t xml:space="preserve">unded tasks: Develop PIP and conduct a minimum of four community meetings at key project milestones (2.b.iii). Update Mullica and provide update materials to key </w:t>
            </w:r>
            <w:r w:rsidR="005E4D53" w:rsidRPr="00104202">
              <w:rPr>
                <w:rFonts w:ascii="Calibri" w:hAnsi="Calibri" w:cs="Calibri"/>
                <w:color w:val="000000"/>
                <w:sz w:val="20"/>
                <w:szCs w:val="20"/>
              </w:rPr>
              <w:t>partners through</w:t>
            </w:r>
            <w:r w:rsidR="00FA3143" w:rsidRPr="00104202">
              <w:rPr>
                <w:rFonts w:ascii="Calibri" w:hAnsi="Calibri"/>
                <w:color w:val="auto"/>
                <w:sz w:val="20"/>
                <w:szCs w:val="20"/>
              </w:rPr>
              <w:t xml:space="preserve"> local media, social media, </w:t>
            </w:r>
            <w:r w:rsidR="006D4222" w:rsidRPr="00104202">
              <w:rPr>
                <w:rFonts w:ascii="Calibri" w:hAnsi="Calibri"/>
                <w:color w:val="auto"/>
                <w:sz w:val="20"/>
                <w:szCs w:val="20"/>
              </w:rPr>
              <w:t>t</w:t>
            </w:r>
            <w:r w:rsidR="00FA3143" w:rsidRPr="00104202">
              <w:rPr>
                <w:rFonts w:ascii="Calibri" w:hAnsi="Calibri"/>
                <w:color w:val="auto"/>
                <w:sz w:val="20"/>
                <w:szCs w:val="20"/>
              </w:rPr>
              <w:t xml:space="preserve">ownship </w:t>
            </w:r>
            <w:proofErr w:type="gramStart"/>
            <w:r w:rsidR="00FA3143" w:rsidRPr="00104202">
              <w:rPr>
                <w:rFonts w:ascii="Calibri" w:hAnsi="Calibri"/>
                <w:color w:val="auto"/>
                <w:sz w:val="20"/>
                <w:szCs w:val="20"/>
              </w:rPr>
              <w:t>website</w:t>
            </w:r>
            <w:proofErr w:type="gramEnd"/>
            <w:r w:rsidR="00FA3143" w:rsidRPr="00104202">
              <w:rPr>
                <w:rFonts w:ascii="Calibri" w:hAnsi="Calibri"/>
                <w:color w:val="auto"/>
                <w:sz w:val="20"/>
                <w:szCs w:val="20"/>
              </w:rPr>
              <w:t xml:space="preserve">, and partner networks; document and respond to community input; support public participation </w:t>
            </w:r>
            <w:r w:rsidR="00FA3143" w:rsidRPr="00104202">
              <w:rPr>
                <w:rFonts w:ascii="Calibri" w:hAnsi="Calibri" w:cs="Calibri"/>
                <w:color w:val="000000"/>
                <w:sz w:val="20"/>
                <w:szCs w:val="20"/>
              </w:rPr>
              <w:t>associated with the ABCA and cleanup implementation.</w:t>
            </w:r>
          </w:p>
        </w:tc>
      </w:tr>
      <w:tr w:rsidR="00FA3143" w:rsidRPr="008F1FBA" w14:paraId="60B5737B" w14:textId="77777777" w:rsidTr="001F3C8E">
        <w:trPr>
          <w:trHeight w:val="557"/>
          <w:jc w:val="center"/>
        </w:trPr>
        <w:tc>
          <w:tcPr>
            <w:tcW w:w="11440" w:type="dxa"/>
            <w:tcBorders>
              <w:top w:val="nil"/>
              <w:left w:val="single" w:sz="4" w:space="0" w:color="auto"/>
              <w:bottom w:val="single" w:sz="4" w:space="0" w:color="auto"/>
              <w:right w:val="single" w:sz="4" w:space="0" w:color="auto"/>
            </w:tcBorders>
            <w:vAlign w:val="center"/>
            <w:hideMark/>
          </w:tcPr>
          <w:p w14:paraId="082724A5" w14:textId="2974E34D" w:rsidR="00FA3143" w:rsidRPr="00104202" w:rsidRDefault="004C40BB" w:rsidP="00FA3143">
            <w:pPr>
              <w:suppressAutoHyphens w:val="0"/>
              <w:spacing w:after="0"/>
              <w:rPr>
                <w:rFonts w:ascii="Calibri" w:hAnsi="Calibri" w:cs="Calibri"/>
                <w:color w:val="000000"/>
                <w:sz w:val="20"/>
                <w:szCs w:val="20"/>
              </w:rPr>
            </w:pPr>
            <w:r w:rsidRPr="00104202">
              <w:rPr>
                <w:rFonts w:ascii="Calibri" w:hAnsi="Calibri" w:cs="Calibri"/>
                <w:color w:val="000000"/>
                <w:sz w:val="20"/>
                <w:szCs w:val="20"/>
              </w:rPr>
              <w:t>c</w:t>
            </w:r>
            <w:r w:rsidR="00FA3143" w:rsidRPr="00104202">
              <w:rPr>
                <w:rFonts w:ascii="Calibri" w:hAnsi="Calibri" w:cs="Calibri"/>
                <w:color w:val="000000"/>
                <w:sz w:val="20"/>
                <w:szCs w:val="20"/>
              </w:rPr>
              <w:t>. Anticipated Project Schedule: Oct</w:t>
            </w:r>
            <w:r w:rsidR="006D4222" w:rsidRPr="00104202">
              <w:rPr>
                <w:rFonts w:ascii="Calibri" w:hAnsi="Calibri" w:cs="Calibri"/>
                <w:color w:val="000000"/>
                <w:sz w:val="20"/>
                <w:szCs w:val="20"/>
              </w:rPr>
              <w:t>ober</w:t>
            </w:r>
            <w:r w:rsidR="00FA3143" w:rsidRPr="00104202">
              <w:rPr>
                <w:rFonts w:ascii="Calibri" w:hAnsi="Calibri" w:cs="Calibri"/>
                <w:color w:val="000000"/>
                <w:sz w:val="20"/>
                <w:szCs w:val="20"/>
              </w:rPr>
              <w:t xml:space="preserve"> 1, 2026, to Sept</w:t>
            </w:r>
            <w:r w:rsidR="006D4222" w:rsidRPr="00104202">
              <w:rPr>
                <w:rFonts w:ascii="Calibri" w:hAnsi="Calibri" w:cs="Calibri"/>
                <w:color w:val="000000"/>
                <w:sz w:val="20"/>
                <w:szCs w:val="20"/>
              </w:rPr>
              <w:t>ember</w:t>
            </w:r>
            <w:r w:rsidR="00FA3143" w:rsidRPr="00104202">
              <w:rPr>
                <w:rFonts w:ascii="Calibri" w:hAnsi="Calibri" w:cs="Calibri"/>
                <w:color w:val="000000"/>
                <w:sz w:val="20"/>
                <w:szCs w:val="20"/>
              </w:rPr>
              <w:t xml:space="preserve"> 30, 2028. Community meetings in December 2026 (pre-soil remediation, cleanup plan development</w:t>
            </w:r>
            <w:r w:rsidR="007D1583" w:rsidRPr="00104202">
              <w:rPr>
                <w:rFonts w:ascii="Calibri" w:hAnsi="Calibri" w:cs="Calibri"/>
                <w:color w:val="000000"/>
                <w:sz w:val="20"/>
                <w:szCs w:val="20"/>
              </w:rPr>
              <w:t>)</w:t>
            </w:r>
            <w:r w:rsidR="00FA3143" w:rsidRPr="00104202">
              <w:rPr>
                <w:rFonts w:ascii="Calibri" w:hAnsi="Calibri" w:cs="Calibri"/>
                <w:color w:val="000000"/>
                <w:sz w:val="20"/>
                <w:szCs w:val="20"/>
              </w:rPr>
              <w:t xml:space="preserve">, May and September 2027 (mobilization and remediation), and May 2028 (post-cleanup). Other meetings as needed until project closure, anticipated September 30, 2028. </w:t>
            </w:r>
          </w:p>
        </w:tc>
      </w:tr>
      <w:tr w:rsidR="00FA3143" w:rsidRPr="008F1FBA" w14:paraId="4B8F3939" w14:textId="77777777" w:rsidTr="001F3C8E">
        <w:trPr>
          <w:trHeight w:val="71"/>
          <w:jc w:val="center"/>
        </w:trPr>
        <w:tc>
          <w:tcPr>
            <w:tcW w:w="11440" w:type="dxa"/>
            <w:tcBorders>
              <w:top w:val="nil"/>
              <w:left w:val="single" w:sz="4" w:space="0" w:color="auto"/>
              <w:bottom w:val="single" w:sz="4" w:space="0" w:color="auto"/>
              <w:right w:val="single" w:sz="4" w:space="0" w:color="auto"/>
            </w:tcBorders>
            <w:vAlign w:val="center"/>
            <w:hideMark/>
          </w:tcPr>
          <w:p w14:paraId="2C1C0F99" w14:textId="0440C742" w:rsidR="00FA3143" w:rsidRPr="00104202" w:rsidRDefault="004C40BB" w:rsidP="00FA3143">
            <w:pPr>
              <w:suppressAutoHyphens w:val="0"/>
              <w:spacing w:after="0"/>
              <w:rPr>
                <w:rFonts w:ascii="Calibri" w:hAnsi="Calibri" w:cs="Calibri"/>
                <w:color w:val="000000"/>
                <w:sz w:val="20"/>
                <w:szCs w:val="20"/>
              </w:rPr>
            </w:pPr>
            <w:proofErr w:type="spellStart"/>
            <w:r w:rsidRPr="00104202">
              <w:rPr>
                <w:rFonts w:ascii="Calibri" w:hAnsi="Calibri" w:cs="Calibri"/>
                <w:color w:val="000000"/>
                <w:sz w:val="20"/>
                <w:szCs w:val="20"/>
              </w:rPr>
              <w:t>d</w:t>
            </w:r>
            <w:r w:rsidR="00FA3143" w:rsidRPr="00104202">
              <w:rPr>
                <w:rFonts w:ascii="Calibri" w:hAnsi="Calibri" w:cs="Calibri"/>
                <w:color w:val="000000"/>
                <w:sz w:val="20"/>
                <w:szCs w:val="20"/>
              </w:rPr>
              <w:t>.</w:t>
            </w:r>
            <w:proofErr w:type="spellEnd"/>
            <w:r w:rsidR="00FA3143" w:rsidRPr="00104202">
              <w:rPr>
                <w:rFonts w:ascii="Calibri" w:hAnsi="Calibri" w:cs="Calibri"/>
                <w:color w:val="000000"/>
                <w:sz w:val="20"/>
                <w:szCs w:val="20"/>
              </w:rPr>
              <w:t xml:space="preserve"> Task/Activity Lead: Mullica (Applicant and Site Owner), Assist: </w:t>
            </w:r>
            <w:r w:rsidR="005E4D53" w:rsidRPr="00104202">
              <w:rPr>
                <w:rFonts w:ascii="Calibri" w:hAnsi="Calibri" w:cs="Calibri"/>
                <w:color w:val="000000"/>
                <w:sz w:val="20"/>
                <w:szCs w:val="20"/>
              </w:rPr>
              <w:t>LSRP</w:t>
            </w:r>
          </w:p>
        </w:tc>
      </w:tr>
      <w:tr w:rsidR="00FA3143" w:rsidRPr="008F1FBA" w14:paraId="3598896C" w14:textId="77777777" w:rsidTr="001F3C8E">
        <w:trPr>
          <w:trHeight w:val="476"/>
          <w:jc w:val="center"/>
        </w:trPr>
        <w:tc>
          <w:tcPr>
            <w:tcW w:w="11440" w:type="dxa"/>
            <w:tcBorders>
              <w:top w:val="nil"/>
              <w:left w:val="single" w:sz="4" w:space="0" w:color="auto"/>
              <w:bottom w:val="single" w:sz="4" w:space="0" w:color="auto"/>
              <w:right w:val="single" w:sz="4" w:space="0" w:color="auto"/>
            </w:tcBorders>
            <w:vAlign w:val="center"/>
            <w:hideMark/>
          </w:tcPr>
          <w:p w14:paraId="509314FA" w14:textId="2737F0DC" w:rsidR="00FA3143" w:rsidRPr="00104202" w:rsidRDefault="004C40BB" w:rsidP="001F3C8E">
            <w:pPr>
              <w:suppressAutoHyphens w:val="0"/>
              <w:spacing w:after="0"/>
              <w:rPr>
                <w:rFonts w:ascii="Calibri" w:hAnsi="Calibri" w:cs="Calibri"/>
                <w:color w:val="000000"/>
                <w:sz w:val="20"/>
                <w:szCs w:val="20"/>
              </w:rPr>
            </w:pPr>
            <w:r w:rsidRPr="00104202">
              <w:rPr>
                <w:rFonts w:ascii="Calibri" w:hAnsi="Calibri" w:cs="Calibri"/>
                <w:color w:val="000000"/>
                <w:sz w:val="20"/>
                <w:szCs w:val="20"/>
              </w:rPr>
              <w:t>e</w:t>
            </w:r>
            <w:r w:rsidR="00FA3143" w:rsidRPr="00104202">
              <w:rPr>
                <w:rFonts w:ascii="Calibri" w:hAnsi="Calibri" w:cs="Calibri"/>
                <w:color w:val="000000"/>
                <w:sz w:val="20"/>
                <w:szCs w:val="20"/>
              </w:rPr>
              <w:t xml:space="preserve">. Outputs: One PIP, </w:t>
            </w:r>
            <w:r w:rsidR="00AD0E7E" w:rsidRPr="00104202">
              <w:rPr>
                <w:rFonts w:ascii="Calibri" w:hAnsi="Calibri" w:cs="Calibri"/>
                <w:color w:val="000000"/>
                <w:sz w:val="20"/>
                <w:szCs w:val="20"/>
              </w:rPr>
              <w:t>eight</w:t>
            </w:r>
            <w:r w:rsidR="00FA3143" w:rsidRPr="00104202">
              <w:rPr>
                <w:rFonts w:ascii="Calibri" w:hAnsi="Calibri" w:cs="Calibri"/>
                <w:color w:val="000000"/>
                <w:sz w:val="20"/>
                <w:szCs w:val="20"/>
              </w:rPr>
              <w:t xml:space="preserve"> Mullica updates, </w:t>
            </w:r>
            <w:r w:rsidR="00AD0E7E" w:rsidRPr="00104202">
              <w:rPr>
                <w:rFonts w:ascii="Calibri" w:hAnsi="Calibri" w:cs="Calibri"/>
                <w:color w:val="000000"/>
                <w:sz w:val="20"/>
                <w:szCs w:val="20"/>
              </w:rPr>
              <w:t>four</w:t>
            </w:r>
            <w:r w:rsidR="00FA3143" w:rsidRPr="00104202">
              <w:rPr>
                <w:rFonts w:ascii="Calibri" w:hAnsi="Calibri" w:cs="Calibri"/>
                <w:color w:val="000000"/>
                <w:sz w:val="20"/>
                <w:szCs w:val="20"/>
              </w:rPr>
              <w:t xml:space="preserve"> community open houses and notes/attendance/recordings, </w:t>
            </w:r>
            <w:r w:rsidR="00AD0E7E" w:rsidRPr="00104202">
              <w:rPr>
                <w:rFonts w:ascii="Calibri" w:hAnsi="Calibri" w:cs="Calibri"/>
                <w:color w:val="000000"/>
                <w:sz w:val="20"/>
                <w:szCs w:val="20"/>
              </w:rPr>
              <w:t>eight</w:t>
            </w:r>
            <w:r w:rsidR="00FA3143" w:rsidRPr="00104202">
              <w:rPr>
                <w:rFonts w:ascii="Calibri" w:hAnsi="Calibri" w:cs="Calibri"/>
                <w:color w:val="000000"/>
                <w:sz w:val="20"/>
                <w:szCs w:val="20"/>
              </w:rPr>
              <w:t xml:space="preserve"> press releases/blogs/website updates/social media posts, and community outreach notes/summaries.</w:t>
            </w:r>
          </w:p>
        </w:tc>
      </w:tr>
      <w:tr w:rsidR="00FA3143" w:rsidRPr="008F1FBA" w14:paraId="2A36FEF8" w14:textId="77777777" w:rsidTr="001F3C8E">
        <w:trPr>
          <w:trHeight w:val="70"/>
          <w:jc w:val="center"/>
        </w:trPr>
        <w:tc>
          <w:tcPr>
            <w:tcW w:w="11440" w:type="dxa"/>
            <w:tcBorders>
              <w:top w:val="nil"/>
              <w:left w:val="single" w:sz="4" w:space="0" w:color="auto"/>
              <w:bottom w:val="single" w:sz="4" w:space="0" w:color="auto"/>
              <w:right w:val="single" w:sz="4" w:space="0" w:color="auto"/>
            </w:tcBorders>
            <w:shd w:val="clear" w:color="000000" w:fill="F2F2F2"/>
            <w:vAlign w:val="center"/>
            <w:hideMark/>
          </w:tcPr>
          <w:p w14:paraId="37DCBC77" w14:textId="77777777" w:rsidR="00FA3143" w:rsidRPr="00104202" w:rsidRDefault="00FA3143" w:rsidP="00FA3143">
            <w:pPr>
              <w:suppressAutoHyphens w:val="0"/>
              <w:spacing w:after="0"/>
              <w:jc w:val="both"/>
              <w:rPr>
                <w:rFonts w:ascii="Calibri" w:hAnsi="Calibri" w:cs="Calibri"/>
                <w:b/>
                <w:bCs/>
                <w:color w:val="auto"/>
                <w:sz w:val="20"/>
                <w:szCs w:val="20"/>
              </w:rPr>
            </w:pPr>
            <w:r w:rsidRPr="00104202">
              <w:rPr>
                <w:rFonts w:ascii="Calibri" w:hAnsi="Calibri" w:cs="Calibri"/>
                <w:b/>
                <w:bCs/>
                <w:color w:val="auto"/>
                <w:sz w:val="20"/>
                <w:szCs w:val="20"/>
              </w:rPr>
              <w:t xml:space="preserve">Task 3 – Cleanup Planning </w:t>
            </w:r>
          </w:p>
        </w:tc>
      </w:tr>
      <w:tr w:rsidR="00FA3143" w:rsidRPr="008F1FBA" w14:paraId="25177A53" w14:textId="77777777" w:rsidTr="001F3C8E">
        <w:trPr>
          <w:trHeight w:val="431"/>
          <w:jc w:val="center"/>
        </w:trPr>
        <w:tc>
          <w:tcPr>
            <w:tcW w:w="11440" w:type="dxa"/>
            <w:tcBorders>
              <w:top w:val="nil"/>
              <w:left w:val="single" w:sz="4" w:space="0" w:color="auto"/>
              <w:bottom w:val="single" w:sz="4" w:space="0" w:color="auto"/>
              <w:right w:val="single" w:sz="4" w:space="0" w:color="auto"/>
            </w:tcBorders>
            <w:vAlign w:val="center"/>
            <w:hideMark/>
          </w:tcPr>
          <w:p w14:paraId="1AE02C7D" w14:textId="6B1953BD" w:rsidR="00FA3143" w:rsidRPr="00104202" w:rsidRDefault="004C40BB" w:rsidP="00FA3143">
            <w:pPr>
              <w:suppressAutoHyphens w:val="0"/>
              <w:spacing w:after="0"/>
              <w:rPr>
                <w:rFonts w:ascii="Calibri" w:hAnsi="Calibri" w:cs="Calibri"/>
                <w:color w:val="000000"/>
                <w:sz w:val="20"/>
                <w:szCs w:val="20"/>
              </w:rPr>
            </w:pPr>
            <w:r w:rsidRPr="00104202">
              <w:rPr>
                <w:rFonts w:ascii="Calibri" w:hAnsi="Calibri" w:cs="Calibri"/>
                <w:color w:val="000000"/>
                <w:sz w:val="20"/>
                <w:szCs w:val="20"/>
              </w:rPr>
              <w:t>b</w:t>
            </w:r>
            <w:r w:rsidR="00FA3143" w:rsidRPr="00104202">
              <w:rPr>
                <w:rFonts w:ascii="Calibri" w:hAnsi="Calibri" w:cs="Calibri"/>
                <w:color w:val="000000"/>
                <w:sz w:val="20"/>
                <w:szCs w:val="20"/>
              </w:rPr>
              <w:t xml:space="preserve">. Project Implementation, EPA-funded tasks: Hold 30-day public review/comment period of draft ABCA; finalize ABCA to incorporate comments from public/regulatory review and obtain R10 EPA Project Manager approval; secure all permits/regulatory approvals; develop </w:t>
            </w:r>
            <w:r w:rsidR="00FA3143" w:rsidRPr="00104202">
              <w:rPr>
                <w:rFonts w:ascii="Calibri" w:hAnsi="Calibri" w:cs="Calibri"/>
                <w:color w:val="000000"/>
                <w:sz w:val="20"/>
                <w:szCs w:val="20"/>
              </w:rPr>
              <w:lastRenderedPageBreak/>
              <w:t>Site cleanup plans</w:t>
            </w:r>
            <w:r w:rsidR="004060EC" w:rsidRPr="00104202">
              <w:rPr>
                <w:rFonts w:ascii="Calibri" w:hAnsi="Calibri" w:cs="Calibri"/>
                <w:color w:val="000000"/>
                <w:sz w:val="20"/>
                <w:szCs w:val="20"/>
              </w:rPr>
              <w:t>,</w:t>
            </w:r>
            <w:r w:rsidR="00FA3143" w:rsidRPr="00104202">
              <w:rPr>
                <w:rFonts w:ascii="Calibri" w:hAnsi="Calibri" w:cs="Calibri"/>
                <w:color w:val="000000"/>
                <w:sz w:val="20"/>
                <w:szCs w:val="20"/>
              </w:rPr>
              <w:t xml:space="preserve"> including </w:t>
            </w:r>
            <w:r w:rsidR="009C737A" w:rsidRPr="00104202">
              <w:rPr>
                <w:rFonts w:ascii="Calibri" w:hAnsi="Calibri" w:cs="Calibri"/>
                <w:color w:val="000000"/>
                <w:sz w:val="20"/>
                <w:szCs w:val="20"/>
              </w:rPr>
              <w:t>Health and Safety Plan</w:t>
            </w:r>
            <w:r w:rsidR="00FA3143" w:rsidRPr="00104202">
              <w:rPr>
                <w:rFonts w:ascii="Calibri" w:hAnsi="Calibri" w:cs="Calibri"/>
                <w:color w:val="000000"/>
                <w:sz w:val="20"/>
                <w:szCs w:val="20"/>
              </w:rPr>
              <w:t xml:space="preserve"> </w:t>
            </w:r>
            <w:r w:rsidR="009C737A" w:rsidRPr="00104202">
              <w:rPr>
                <w:rFonts w:ascii="Calibri" w:hAnsi="Calibri" w:cs="Calibri"/>
                <w:color w:val="000000"/>
                <w:sz w:val="20"/>
                <w:szCs w:val="20"/>
              </w:rPr>
              <w:t>(</w:t>
            </w:r>
            <w:r w:rsidR="00FA3143" w:rsidRPr="00104202">
              <w:rPr>
                <w:rFonts w:ascii="Calibri" w:hAnsi="Calibri" w:cs="Calibri"/>
                <w:color w:val="000000"/>
                <w:sz w:val="20"/>
                <w:szCs w:val="20"/>
              </w:rPr>
              <w:t>HASP</w:t>
            </w:r>
            <w:r w:rsidR="009C737A" w:rsidRPr="00104202">
              <w:rPr>
                <w:rFonts w:ascii="Calibri" w:hAnsi="Calibri" w:cs="Calibri"/>
                <w:color w:val="000000"/>
                <w:sz w:val="20"/>
                <w:szCs w:val="20"/>
              </w:rPr>
              <w:t>)</w:t>
            </w:r>
            <w:r w:rsidR="00FA3143" w:rsidRPr="00104202">
              <w:rPr>
                <w:rFonts w:ascii="Calibri" w:hAnsi="Calibri" w:cs="Calibri"/>
                <w:color w:val="000000"/>
                <w:sz w:val="20"/>
                <w:szCs w:val="20"/>
              </w:rPr>
              <w:t xml:space="preserve">, </w:t>
            </w:r>
            <w:r w:rsidR="009C737A" w:rsidRPr="00104202">
              <w:rPr>
                <w:rFonts w:ascii="Calibri" w:hAnsi="Calibri" w:cs="Calibri"/>
                <w:color w:val="000000"/>
                <w:sz w:val="20"/>
                <w:szCs w:val="20"/>
              </w:rPr>
              <w:t>Quality Assurance Project Plan (</w:t>
            </w:r>
            <w:r w:rsidR="00FA3143" w:rsidRPr="00104202">
              <w:rPr>
                <w:rFonts w:ascii="Calibri" w:hAnsi="Calibri" w:cs="Calibri"/>
                <w:color w:val="000000"/>
                <w:sz w:val="20"/>
                <w:szCs w:val="20"/>
              </w:rPr>
              <w:t>QAPP</w:t>
            </w:r>
            <w:r w:rsidR="009C737A" w:rsidRPr="00104202">
              <w:rPr>
                <w:rFonts w:ascii="Calibri" w:hAnsi="Calibri" w:cs="Calibri"/>
                <w:color w:val="000000"/>
                <w:sz w:val="20"/>
                <w:szCs w:val="20"/>
              </w:rPr>
              <w:t>)</w:t>
            </w:r>
            <w:r w:rsidR="00FA3143" w:rsidRPr="00104202">
              <w:rPr>
                <w:rFonts w:ascii="Calibri" w:hAnsi="Calibri" w:cs="Calibri"/>
                <w:color w:val="000000"/>
                <w:sz w:val="20"/>
                <w:szCs w:val="20"/>
              </w:rPr>
              <w:t xml:space="preserve">, and </w:t>
            </w:r>
            <w:r w:rsidR="009C737A" w:rsidRPr="00104202">
              <w:rPr>
                <w:rFonts w:ascii="Calibri" w:hAnsi="Calibri" w:cs="Calibri"/>
                <w:color w:val="000000"/>
                <w:sz w:val="20"/>
                <w:szCs w:val="20"/>
              </w:rPr>
              <w:t>Sampling and Analysis Plan (</w:t>
            </w:r>
            <w:r w:rsidR="00FA3143" w:rsidRPr="00104202">
              <w:rPr>
                <w:rFonts w:ascii="Calibri" w:hAnsi="Calibri" w:cs="Calibri"/>
                <w:color w:val="000000"/>
                <w:sz w:val="20"/>
                <w:szCs w:val="20"/>
              </w:rPr>
              <w:t>SAP</w:t>
            </w:r>
            <w:r w:rsidR="009C737A" w:rsidRPr="00104202">
              <w:rPr>
                <w:rFonts w:ascii="Calibri" w:hAnsi="Calibri" w:cs="Calibri"/>
                <w:color w:val="000000"/>
                <w:sz w:val="20"/>
                <w:szCs w:val="20"/>
              </w:rPr>
              <w:t>)</w:t>
            </w:r>
            <w:r w:rsidR="004060EC" w:rsidRPr="00104202">
              <w:rPr>
                <w:rFonts w:ascii="Calibri" w:hAnsi="Calibri" w:cs="Calibri"/>
                <w:color w:val="000000"/>
                <w:sz w:val="20"/>
                <w:szCs w:val="20"/>
              </w:rPr>
              <w:t>,</w:t>
            </w:r>
            <w:r w:rsidR="00FA3143" w:rsidRPr="00104202">
              <w:rPr>
                <w:rFonts w:ascii="Calibri" w:hAnsi="Calibri" w:cs="Calibri"/>
                <w:color w:val="000000"/>
                <w:sz w:val="20"/>
                <w:szCs w:val="20"/>
              </w:rPr>
              <w:t xml:space="preserve"> and secure EPA approvals;.</w:t>
            </w:r>
          </w:p>
        </w:tc>
      </w:tr>
      <w:tr w:rsidR="00FA3143" w:rsidRPr="008F1FBA" w14:paraId="2A274595" w14:textId="77777777" w:rsidTr="001F3C8E">
        <w:trPr>
          <w:trHeight w:val="71"/>
          <w:jc w:val="center"/>
        </w:trPr>
        <w:tc>
          <w:tcPr>
            <w:tcW w:w="11440" w:type="dxa"/>
            <w:tcBorders>
              <w:top w:val="nil"/>
              <w:left w:val="single" w:sz="4" w:space="0" w:color="auto"/>
              <w:bottom w:val="single" w:sz="4" w:space="0" w:color="auto"/>
              <w:right w:val="single" w:sz="4" w:space="0" w:color="auto"/>
            </w:tcBorders>
            <w:vAlign w:val="center"/>
            <w:hideMark/>
          </w:tcPr>
          <w:p w14:paraId="10BC7D80" w14:textId="7C67B1A5" w:rsidR="00FA3143" w:rsidRPr="00104202" w:rsidRDefault="004C40BB" w:rsidP="00FA3143">
            <w:pPr>
              <w:suppressAutoHyphens w:val="0"/>
              <w:spacing w:after="0"/>
              <w:rPr>
                <w:rFonts w:ascii="Calibri" w:hAnsi="Calibri" w:cs="Calibri"/>
                <w:color w:val="000000"/>
                <w:sz w:val="20"/>
                <w:szCs w:val="20"/>
              </w:rPr>
            </w:pPr>
            <w:r w:rsidRPr="00104202">
              <w:rPr>
                <w:rFonts w:ascii="Calibri" w:hAnsi="Calibri" w:cs="Calibri"/>
                <w:color w:val="000000"/>
                <w:sz w:val="20"/>
                <w:szCs w:val="20"/>
              </w:rPr>
              <w:lastRenderedPageBreak/>
              <w:t>c</w:t>
            </w:r>
            <w:r w:rsidR="00FA3143" w:rsidRPr="00104202">
              <w:rPr>
                <w:rFonts w:ascii="Calibri" w:hAnsi="Calibri" w:cs="Calibri"/>
                <w:color w:val="000000"/>
                <w:sz w:val="20"/>
                <w:szCs w:val="20"/>
              </w:rPr>
              <w:t>. Anticipated Project Schedule: October 1, 2026, to June 30, 2028</w:t>
            </w:r>
          </w:p>
        </w:tc>
      </w:tr>
      <w:tr w:rsidR="00FA3143" w:rsidRPr="008F1FBA" w14:paraId="3FC13509" w14:textId="77777777" w:rsidTr="001F3C8E">
        <w:trPr>
          <w:trHeight w:val="206"/>
          <w:jc w:val="center"/>
        </w:trPr>
        <w:tc>
          <w:tcPr>
            <w:tcW w:w="11440" w:type="dxa"/>
            <w:tcBorders>
              <w:top w:val="nil"/>
              <w:left w:val="single" w:sz="4" w:space="0" w:color="auto"/>
              <w:bottom w:val="single" w:sz="4" w:space="0" w:color="auto"/>
              <w:right w:val="single" w:sz="4" w:space="0" w:color="auto"/>
            </w:tcBorders>
            <w:vAlign w:val="center"/>
            <w:hideMark/>
          </w:tcPr>
          <w:p w14:paraId="3FA533CE" w14:textId="45AE6F5F" w:rsidR="00FA3143" w:rsidRPr="00104202" w:rsidRDefault="004C40BB" w:rsidP="00FA3143">
            <w:pPr>
              <w:suppressAutoHyphens w:val="0"/>
              <w:spacing w:after="0"/>
              <w:rPr>
                <w:rFonts w:ascii="Calibri" w:hAnsi="Calibri" w:cs="Calibri"/>
                <w:color w:val="000000"/>
                <w:sz w:val="20"/>
                <w:szCs w:val="20"/>
              </w:rPr>
            </w:pPr>
            <w:proofErr w:type="spellStart"/>
            <w:r w:rsidRPr="00104202">
              <w:rPr>
                <w:rFonts w:ascii="Calibri" w:hAnsi="Calibri" w:cs="Calibri"/>
                <w:color w:val="000000"/>
                <w:sz w:val="20"/>
                <w:szCs w:val="20"/>
              </w:rPr>
              <w:t>d</w:t>
            </w:r>
            <w:r w:rsidR="00FA3143" w:rsidRPr="00104202">
              <w:rPr>
                <w:rFonts w:ascii="Calibri" w:hAnsi="Calibri" w:cs="Calibri"/>
                <w:color w:val="000000"/>
                <w:sz w:val="20"/>
                <w:szCs w:val="20"/>
              </w:rPr>
              <w:t>.</w:t>
            </w:r>
            <w:proofErr w:type="spellEnd"/>
            <w:r w:rsidR="00FA3143" w:rsidRPr="00104202">
              <w:rPr>
                <w:rFonts w:ascii="Calibri" w:hAnsi="Calibri" w:cs="Calibri"/>
                <w:color w:val="000000"/>
                <w:sz w:val="20"/>
                <w:szCs w:val="20"/>
              </w:rPr>
              <w:t xml:space="preserve"> Task/Activity Lead: Mullica (Applicant and Site Owner), overseeing </w:t>
            </w:r>
            <w:r w:rsidR="005E4D53" w:rsidRPr="00104202">
              <w:rPr>
                <w:rFonts w:ascii="Calibri" w:hAnsi="Calibri" w:cs="Calibri"/>
                <w:color w:val="000000"/>
                <w:sz w:val="20"/>
                <w:szCs w:val="20"/>
              </w:rPr>
              <w:t>LSRP</w:t>
            </w:r>
          </w:p>
        </w:tc>
      </w:tr>
      <w:tr w:rsidR="00FA3143" w:rsidRPr="008F1FBA" w14:paraId="4896883B" w14:textId="77777777" w:rsidTr="001F3C8E">
        <w:trPr>
          <w:trHeight w:val="260"/>
          <w:jc w:val="center"/>
        </w:trPr>
        <w:tc>
          <w:tcPr>
            <w:tcW w:w="11440" w:type="dxa"/>
            <w:tcBorders>
              <w:top w:val="nil"/>
              <w:left w:val="single" w:sz="4" w:space="0" w:color="auto"/>
              <w:bottom w:val="single" w:sz="4" w:space="0" w:color="auto"/>
              <w:right w:val="single" w:sz="4" w:space="0" w:color="auto"/>
            </w:tcBorders>
            <w:vAlign w:val="center"/>
            <w:hideMark/>
          </w:tcPr>
          <w:p w14:paraId="721C73E2" w14:textId="4FF37723" w:rsidR="00FA3143" w:rsidRPr="00104202" w:rsidRDefault="004C40BB" w:rsidP="00FA3143">
            <w:pPr>
              <w:suppressAutoHyphens w:val="0"/>
              <w:spacing w:after="0"/>
              <w:jc w:val="both"/>
              <w:rPr>
                <w:rFonts w:ascii="Calibri" w:hAnsi="Calibri" w:cs="Calibri"/>
                <w:color w:val="000000"/>
                <w:sz w:val="20"/>
                <w:szCs w:val="20"/>
              </w:rPr>
            </w:pPr>
            <w:r w:rsidRPr="00104202">
              <w:rPr>
                <w:rFonts w:ascii="Calibri" w:hAnsi="Calibri" w:cs="Calibri"/>
                <w:color w:val="000000"/>
                <w:sz w:val="20"/>
                <w:szCs w:val="20"/>
              </w:rPr>
              <w:t>e</w:t>
            </w:r>
            <w:r w:rsidR="00FA3143" w:rsidRPr="00104202">
              <w:rPr>
                <w:rFonts w:ascii="Calibri" w:hAnsi="Calibri" w:cs="Calibri"/>
                <w:color w:val="000000"/>
                <w:sz w:val="20"/>
                <w:szCs w:val="20"/>
              </w:rPr>
              <w:t>. Outputs: One final ABCA; one HASP,</w:t>
            </w:r>
            <w:r w:rsidR="00617352">
              <w:rPr>
                <w:rFonts w:ascii="Calibri" w:hAnsi="Calibri" w:cs="Calibri"/>
                <w:color w:val="000000"/>
                <w:sz w:val="20"/>
                <w:szCs w:val="20"/>
              </w:rPr>
              <w:t xml:space="preserve"> Quality Assurance Project Plan (</w:t>
            </w:r>
            <w:r w:rsidR="00FA3143" w:rsidRPr="00104202">
              <w:rPr>
                <w:rFonts w:ascii="Calibri" w:hAnsi="Calibri" w:cs="Calibri"/>
                <w:color w:val="000000"/>
                <w:sz w:val="20"/>
                <w:szCs w:val="20"/>
              </w:rPr>
              <w:t>QAPP</w:t>
            </w:r>
            <w:r w:rsidR="00617352">
              <w:rPr>
                <w:rFonts w:ascii="Calibri" w:hAnsi="Calibri" w:cs="Calibri"/>
                <w:color w:val="000000"/>
                <w:sz w:val="20"/>
                <w:szCs w:val="20"/>
              </w:rPr>
              <w:t>)</w:t>
            </w:r>
            <w:r w:rsidR="00FA3143" w:rsidRPr="00104202">
              <w:rPr>
                <w:rFonts w:ascii="Calibri" w:hAnsi="Calibri" w:cs="Calibri"/>
                <w:color w:val="000000"/>
                <w:sz w:val="20"/>
                <w:szCs w:val="20"/>
              </w:rPr>
              <w:t xml:space="preserve">, SAP; 100% design documents; one set of bid documents; one cleanup plan </w:t>
            </w:r>
          </w:p>
        </w:tc>
      </w:tr>
      <w:tr w:rsidR="00FA3143" w:rsidRPr="008F1FBA" w14:paraId="44A34F69" w14:textId="77777777" w:rsidTr="001F3C8E">
        <w:trPr>
          <w:trHeight w:val="70"/>
          <w:jc w:val="center"/>
        </w:trPr>
        <w:tc>
          <w:tcPr>
            <w:tcW w:w="11440" w:type="dxa"/>
            <w:tcBorders>
              <w:top w:val="nil"/>
              <w:left w:val="single" w:sz="4" w:space="0" w:color="auto"/>
              <w:bottom w:val="single" w:sz="4" w:space="0" w:color="auto"/>
              <w:right w:val="single" w:sz="4" w:space="0" w:color="auto"/>
            </w:tcBorders>
            <w:shd w:val="clear" w:color="000000" w:fill="F2F2F2"/>
            <w:vAlign w:val="center"/>
            <w:hideMark/>
          </w:tcPr>
          <w:p w14:paraId="51F52543" w14:textId="77777777" w:rsidR="00FA3143" w:rsidRPr="00104202" w:rsidRDefault="00FA3143" w:rsidP="00FA3143">
            <w:pPr>
              <w:suppressAutoHyphens w:val="0"/>
              <w:spacing w:after="0"/>
              <w:jc w:val="both"/>
              <w:rPr>
                <w:rFonts w:ascii="Calibri" w:hAnsi="Calibri" w:cs="Calibri"/>
                <w:b/>
                <w:bCs/>
                <w:color w:val="auto"/>
                <w:sz w:val="20"/>
                <w:szCs w:val="20"/>
              </w:rPr>
            </w:pPr>
            <w:r w:rsidRPr="00104202">
              <w:rPr>
                <w:rFonts w:ascii="Calibri" w:hAnsi="Calibri" w:cs="Calibri"/>
                <w:b/>
                <w:bCs/>
                <w:color w:val="auto"/>
                <w:sz w:val="20"/>
                <w:szCs w:val="20"/>
              </w:rPr>
              <w:t xml:space="preserve">Task 4 – Site Cleanup </w:t>
            </w:r>
          </w:p>
        </w:tc>
      </w:tr>
      <w:tr w:rsidR="00FA3143" w:rsidRPr="008F1FBA" w14:paraId="18198A6A" w14:textId="77777777" w:rsidTr="001F3C8E">
        <w:trPr>
          <w:trHeight w:val="1043"/>
          <w:jc w:val="center"/>
        </w:trPr>
        <w:tc>
          <w:tcPr>
            <w:tcW w:w="11440" w:type="dxa"/>
            <w:tcBorders>
              <w:top w:val="nil"/>
              <w:left w:val="single" w:sz="4" w:space="0" w:color="auto"/>
              <w:bottom w:val="single" w:sz="4" w:space="0" w:color="auto"/>
              <w:right w:val="single" w:sz="4" w:space="0" w:color="auto"/>
            </w:tcBorders>
            <w:vAlign w:val="center"/>
            <w:hideMark/>
          </w:tcPr>
          <w:p w14:paraId="482A4157" w14:textId="7EF54B87" w:rsidR="00FA3143" w:rsidRPr="00104202" w:rsidRDefault="004C40BB" w:rsidP="00FA3143">
            <w:pPr>
              <w:suppressAutoHyphens w:val="0"/>
              <w:spacing w:after="0"/>
              <w:rPr>
                <w:rFonts w:ascii="Calibri" w:hAnsi="Calibri" w:cs="Calibri"/>
                <w:color w:val="000000"/>
                <w:sz w:val="20"/>
                <w:szCs w:val="20"/>
              </w:rPr>
            </w:pPr>
            <w:r w:rsidRPr="00104202">
              <w:rPr>
                <w:rFonts w:ascii="Calibri" w:hAnsi="Calibri" w:cs="Calibri"/>
                <w:color w:val="000000"/>
                <w:sz w:val="20"/>
                <w:szCs w:val="20"/>
              </w:rPr>
              <w:t>b</w:t>
            </w:r>
            <w:r w:rsidR="00FA3143" w:rsidRPr="00104202">
              <w:rPr>
                <w:rFonts w:ascii="Calibri" w:hAnsi="Calibri" w:cs="Calibri"/>
                <w:color w:val="000000"/>
                <w:sz w:val="20"/>
                <w:szCs w:val="20"/>
              </w:rPr>
              <w:t xml:space="preserve">. Project Implementation, EPA-funded tasks: </w:t>
            </w:r>
            <w:r w:rsidR="00FF5C3E" w:rsidRPr="00104202">
              <w:rPr>
                <w:rFonts w:ascii="Calibri" w:hAnsi="Calibri" w:cs="Calibri"/>
                <w:color w:val="000000"/>
                <w:sz w:val="20"/>
                <w:szCs w:val="20"/>
              </w:rPr>
              <w:t>Mullica</w:t>
            </w:r>
            <w:r w:rsidR="005E4D53" w:rsidRPr="00104202">
              <w:rPr>
                <w:rFonts w:ascii="Calibri" w:hAnsi="Calibri" w:cs="Calibri"/>
                <w:color w:val="000000"/>
                <w:sz w:val="20"/>
                <w:szCs w:val="20"/>
              </w:rPr>
              <w:t xml:space="preserve"> </w:t>
            </w:r>
            <w:r w:rsidR="00EE58A8" w:rsidRPr="00104202">
              <w:rPr>
                <w:rFonts w:ascii="Calibri" w:hAnsi="Calibri" w:cs="Calibri"/>
                <w:color w:val="000000"/>
                <w:sz w:val="20"/>
                <w:szCs w:val="20"/>
              </w:rPr>
              <w:t>h</w:t>
            </w:r>
            <w:r w:rsidR="00C850CC" w:rsidRPr="00104202">
              <w:rPr>
                <w:rFonts w:ascii="Calibri" w:hAnsi="Calibri" w:cs="Calibri"/>
                <w:color w:val="000000"/>
                <w:sz w:val="20"/>
                <w:szCs w:val="20"/>
              </w:rPr>
              <w:t xml:space="preserve">as </w:t>
            </w:r>
            <w:r w:rsidR="00FA3143" w:rsidRPr="00104202">
              <w:rPr>
                <w:rFonts w:ascii="Calibri" w:hAnsi="Calibri" w:cs="Calibri"/>
                <w:color w:val="000000"/>
                <w:sz w:val="20"/>
                <w:szCs w:val="20"/>
              </w:rPr>
              <w:t xml:space="preserve">competitively </w:t>
            </w:r>
            <w:r w:rsidR="00C850CC" w:rsidRPr="00104202">
              <w:rPr>
                <w:rFonts w:ascii="Calibri" w:hAnsi="Calibri" w:cs="Calibri"/>
                <w:color w:val="000000"/>
                <w:sz w:val="20"/>
                <w:szCs w:val="20"/>
              </w:rPr>
              <w:t>retained</w:t>
            </w:r>
            <w:r w:rsidR="00FA3143" w:rsidRPr="00104202">
              <w:rPr>
                <w:rFonts w:ascii="Calibri" w:hAnsi="Calibri" w:cs="Calibri"/>
                <w:color w:val="000000"/>
                <w:sz w:val="20"/>
                <w:szCs w:val="20"/>
              </w:rPr>
              <w:t xml:space="preserve"> a remediation contractor in </w:t>
            </w:r>
            <w:r w:rsidR="00FA3143" w:rsidRPr="00104202">
              <w:rPr>
                <w:rFonts w:ascii="Calibri" w:hAnsi="Calibri" w:cs="Calibri"/>
                <w:color w:val="auto"/>
                <w:sz w:val="20"/>
                <w:szCs w:val="20"/>
              </w:rPr>
              <w:t>compliance with 2</w:t>
            </w:r>
            <w:r w:rsidR="002D5445" w:rsidRPr="00104202">
              <w:rPr>
                <w:rFonts w:ascii="Calibri" w:hAnsi="Calibri" w:cs="Calibri"/>
                <w:color w:val="auto"/>
                <w:sz w:val="20"/>
                <w:szCs w:val="20"/>
              </w:rPr>
              <w:t xml:space="preserve"> </w:t>
            </w:r>
            <w:r w:rsidR="00FA3143" w:rsidRPr="00104202">
              <w:rPr>
                <w:rFonts w:ascii="Calibri" w:hAnsi="Calibri" w:cs="Calibri"/>
                <w:color w:val="auto"/>
                <w:sz w:val="20"/>
                <w:szCs w:val="20"/>
              </w:rPr>
              <w:t xml:space="preserve">CFR 200.317-326, which </w:t>
            </w:r>
            <w:r w:rsidR="00FF5C3E" w:rsidRPr="00104202">
              <w:rPr>
                <w:rFonts w:ascii="Calibri" w:hAnsi="Calibri" w:cs="Calibri"/>
                <w:color w:val="auto"/>
                <w:sz w:val="20"/>
                <w:szCs w:val="20"/>
              </w:rPr>
              <w:t xml:space="preserve">the </w:t>
            </w:r>
            <w:r w:rsidR="00FA3143" w:rsidRPr="00104202">
              <w:rPr>
                <w:rFonts w:ascii="Calibri" w:hAnsi="Calibri" w:cs="Calibri"/>
                <w:color w:val="000000"/>
                <w:sz w:val="20"/>
                <w:szCs w:val="20"/>
              </w:rPr>
              <w:t xml:space="preserve">Project Manager will oversee with </w:t>
            </w:r>
            <w:r w:rsidR="005E4D53" w:rsidRPr="00104202">
              <w:rPr>
                <w:rFonts w:ascii="Calibri" w:hAnsi="Calibri" w:cs="Calibri"/>
                <w:color w:val="000000"/>
                <w:sz w:val="20"/>
                <w:szCs w:val="20"/>
              </w:rPr>
              <w:t xml:space="preserve">LSRP </w:t>
            </w:r>
            <w:r w:rsidR="00FA3143" w:rsidRPr="00104202">
              <w:rPr>
                <w:rFonts w:ascii="Calibri" w:hAnsi="Calibri" w:cs="Calibri"/>
                <w:color w:val="000000"/>
                <w:sz w:val="20"/>
                <w:szCs w:val="20"/>
              </w:rPr>
              <w:t xml:space="preserve">assistance. Contractor cleanup activities will include excavation of contaminated soil, removal to </w:t>
            </w:r>
            <w:r w:rsidR="00FF5C3E" w:rsidRPr="00104202">
              <w:rPr>
                <w:rFonts w:ascii="Calibri" w:hAnsi="Calibri" w:cs="Calibri"/>
                <w:color w:val="000000"/>
                <w:sz w:val="20"/>
                <w:szCs w:val="20"/>
              </w:rPr>
              <w:t xml:space="preserve">a </w:t>
            </w:r>
            <w:r w:rsidR="00FA3143" w:rsidRPr="00104202">
              <w:rPr>
                <w:rFonts w:ascii="Calibri" w:hAnsi="Calibri" w:cs="Calibri"/>
                <w:color w:val="000000"/>
                <w:sz w:val="20"/>
                <w:szCs w:val="20"/>
              </w:rPr>
              <w:t>disposal facility</w:t>
            </w:r>
            <w:r w:rsidR="00845FBA" w:rsidRPr="00104202">
              <w:rPr>
                <w:rFonts w:ascii="Calibri" w:hAnsi="Calibri" w:cs="Calibri"/>
                <w:color w:val="000000"/>
                <w:sz w:val="20"/>
                <w:szCs w:val="20"/>
              </w:rPr>
              <w:t>, and air quality monitoring</w:t>
            </w:r>
            <w:r w:rsidR="00FA3143" w:rsidRPr="00104202">
              <w:rPr>
                <w:rFonts w:ascii="Calibri" w:hAnsi="Calibri" w:cs="Calibri"/>
                <w:color w:val="000000"/>
                <w:sz w:val="20"/>
                <w:szCs w:val="20"/>
              </w:rPr>
              <w:t xml:space="preserve">. </w:t>
            </w:r>
            <w:r w:rsidR="005E4D53" w:rsidRPr="00104202">
              <w:rPr>
                <w:rFonts w:ascii="Calibri" w:hAnsi="Calibri" w:cs="Calibri"/>
                <w:color w:val="000000"/>
                <w:sz w:val="20"/>
                <w:szCs w:val="20"/>
              </w:rPr>
              <w:t xml:space="preserve">LSRP </w:t>
            </w:r>
            <w:r w:rsidR="00FA3143" w:rsidRPr="00104202">
              <w:rPr>
                <w:rFonts w:ascii="Calibri" w:hAnsi="Calibri" w:cs="Calibri"/>
                <w:color w:val="000000"/>
                <w:sz w:val="20"/>
                <w:szCs w:val="20"/>
              </w:rPr>
              <w:t xml:space="preserve">will work with </w:t>
            </w:r>
            <w:r w:rsidR="00FF5C3E" w:rsidRPr="00104202">
              <w:rPr>
                <w:rFonts w:ascii="Calibri" w:hAnsi="Calibri" w:cs="Calibri"/>
                <w:color w:val="000000"/>
                <w:sz w:val="20"/>
                <w:szCs w:val="20"/>
              </w:rPr>
              <w:t xml:space="preserve">Mullica </w:t>
            </w:r>
            <w:r w:rsidR="00FA3143" w:rsidRPr="00104202">
              <w:rPr>
                <w:rFonts w:ascii="Calibri" w:hAnsi="Calibri" w:cs="Calibri"/>
                <w:color w:val="000000"/>
                <w:sz w:val="20"/>
                <w:szCs w:val="20"/>
              </w:rPr>
              <w:t xml:space="preserve">to ensure cleanup meets </w:t>
            </w:r>
            <w:r w:rsidR="005E4D53" w:rsidRPr="00104202">
              <w:rPr>
                <w:rFonts w:ascii="Calibri" w:hAnsi="Calibri" w:cs="Calibri"/>
                <w:color w:val="000000"/>
                <w:sz w:val="20"/>
                <w:szCs w:val="20"/>
              </w:rPr>
              <w:t>applicable</w:t>
            </w:r>
            <w:r w:rsidR="00FA3143" w:rsidRPr="00104202">
              <w:rPr>
                <w:rFonts w:ascii="Calibri" w:hAnsi="Calibri" w:cs="Calibri"/>
                <w:color w:val="000000"/>
                <w:sz w:val="20"/>
                <w:szCs w:val="20"/>
              </w:rPr>
              <w:t xml:space="preserve"> state</w:t>
            </w:r>
            <w:r w:rsidR="005E4D53" w:rsidRPr="00104202">
              <w:rPr>
                <w:rFonts w:ascii="Calibri" w:hAnsi="Calibri" w:cs="Calibri"/>
                <w:color w:val="000000"/>
                <w:sz w:val="20"/>
                <w:szCs w:val="20"/>
              </w:rPr>
              <w:t xml:space="preserve"> and</w:t>
            </w:r>
            <w:r w:rsidR="00FA3143" w:rsidRPr="00104202">
              <w:rPr>
                <w:rFonts w:ascii="Calibri" w:hAnsi="Calibri" w:cs="Calibri"/>
                <w:color w:val="000000"/>
                <w:sz w:val="20"/>
                <w:szCs w:val="20"/>
              </w:rPr>
              <w:t xml:space="preserve"> federal regulations and that </w:t>
            </w:r>
            <w:r w:rsidR="00FF5C3E" w:rsidRPr="00104202">
              <w:rPr>
                <w:rFonts w:ascii="Calibri" w:hAnsi="Calibri" w:cs="Calibri"/>
                <w:color w:val="000000"/>
                <w:sz w:val="20"/>
                <w:szCs w:val="20"/>
              </w:rPr>
              <w:t xml:space="preserve">the </w:t>
            </w:r>
            <w:r w:rsidR="00FA3143" w:rsidRPr="00104202">
              <w:rPr>
                <w:rFonts w:ascii="Calibri" w:hAnsi="Calibri" w:cs="Calibri"/>
                <w:color w:val="000000"/>
                <w:sz w:val="20"/>
                <w:szCs w:val="20"/>
              </w:rPr>
              <w:t>cleanup is certified as complete.</w:t>
            </w:r>
          </w:p>
        </w:tc>
      </w:tr>
      <w:tr w:rsidR="00FA3143" w:rsidRPr="008F1FBA" w14:paraId="6F5193D6" w14:textId="77777777" w:rsidTr="001F3C8E">
        <w:trPr>
          <w:trHeight w:val="170"/>
          <w:jc w:val="center"/>
        </w:trPr>
        <w:tc>
          <w:tcPr>
            <w:tcW w:w="11440" w:type="dxa"/>
            <w:tcBorders>
              <w:top w:val="nil"/>
              <w:left w:val="single" w:sz="4" w:space="0" w:color="auto"/>
              <w:bottom w:val="single" w:sz="4" w:space="0" w:color="auto"/>
              <w:right w:val="single" w:sz="4" w:space="0" w:color="auto"/>
            </w:tcBorders>
            <w:vAlign w:val="center"/>
            <w:hideMark/>
          </w:tcPr>
          <w:p w14:paraId="26DFB5E3" w14:textId="060185F8" w:rsidR="00FA3143" w:rsidRPr="00104202" w:rsidRDefault="004C40BB" w:rsidP="00FA3143">
            <w:pPr>
              <w:suppressAutoHyphens w:val="0"/>
              <w:spacing w:after="0"/>
              <w:rPr>
                <w:rFonts w:ascii="Calibri" w:hAnsi="Calibri" w:cs="Calibri"/>
                <w:color w:val="000000"/>
                <w:sz w:val="20"/>
                <w:szCs w:val="20"/>
              </w:rPr>
            </w:pPr>
            <w:r w:rsidRPr="00104202">
              <w:rPr>
                <w:rFonts w:ascii="Calibri" w:hAnsi="Calibri" w:cs="Calibri"/>
                <w:color w:val="000000"/>
                <w:sz w:val="20"/>
                <w:szCs w:val="20"/>
              </w:rPr>
              <w:t>c</w:t>
            </w:r>
            <w:r w:rsidR="00FA3143" w:rsidRPr="00104202">
              <w:rPr>
                <w:rFonts w:ascii="Calibri" w:hAnsi="Calibri" w:cs="Calibri"/>
                <w:color w:val="000000"/>
                <w:sz w:val="20"/>
                <w:szCs w:val="20"/>
              </w:rPr>
              <w:t xml:space="preserve">. Anticipated Project Schedule: October 1, 2026, to anticipated project closure on September 30, 2028. </w:t>
            </w:r>
          </w:p>
        </w:tc>
      </w:tr>
      <w:tr w:rsidR="00FA3143" w:rsidRPr="008F1FBA" w14:paraId="78A3EDEB" w14:textId="77777777" w:rsidTr="001F3C8E">
        <w:trPr>
          <w:trHeight w:val="224"/>
          <w:jc w:val="center"/>
        </w:trPr>
        <w:tc>
          <w:tcPr>
            <w:tcW w:w="11440" w:type="dxa"/>
            <w:tcBorders>
              <w:top w:val="nil"/>
              <w:left w:val="single" w:sz="4" w:space="0" w:color="auto"/>
              <w:bottom w:val="single" w:sz="4" w:space="0" w:color="auto"/>
              <w:right w:val="single" w:sz="4" w:space="0" w:color="auto"/>
            </w:tcBorders>
            <w:vAlign w:val="center"/>
            <w:hideMark/>
          </w:tcPr>
          <w:p w14:paraId="27A178CC" w14:textId="235F7108" w:rsidR="00FA3143" w:rsidRPr="00104202" w:rsidRDefault="004C40BB" w:rsidP="00FA3143">
            <w:pPr>
              <w:suppressAutoHyphens w:val="0"/>
              <w:spacing w:after="0"/>
              <w:rPr>
                <w:rFonts w:ascii="Calibri" w:hAnsi="Calibri" w:cs="Calibri"/>
                <w:color w:val="000000"/>
                <w:sz w:val="20"/>
                <w:szCs w:val="20"/>
              </w:rPr>
            </w:pPr>
            <w:proofErr w:type="spellStart"/>
            <w:r w:rsidRPr="00104202">
              <w:rPr>
                <w:rFonts w:ascii="Calibri" w:hAnsi="Calibri" w:cs="Calibri"/>
                <w:color w:val="000000"/>
                <w:sz w:val="20"/>
                <w:szCs w:val="20"/>
              </w:rPr>
              <w:t>d</w:t>
            </w:r>
            <w:r w:rsidR="00FA3143" w:rsidRPr="00104202">
              <w:rPr>
                <w:rFonts w:ascii="Calibri" w:hAnsi="Calibri" w:cs="Calibri"/>
                <w:color w:val="000000"/>
                <w:sz w:val="20"/>
                <w:szCs w:val="20"/>
              </w:rPr>
              <w:t>.</w:t>
            </w:r>
            <w:proofErr w:type="spellEnd"/>
            <w:r w:rsidR="00FA3143" w:rsidRPr="00104202">
              <w:rPr>
                <w:rFonts w:ascii="Calibri" w:hAnsi="Calibri" w:cs="Calibri"/>
                <w:color w:val="000000"/>
                <w:sz w:val="20"/>
                <w:szCs w:val="20"/>
              </w:rPr>
              <w:t xml:space="preserve"> Task/Activity Lead: Mullica (Applicant and Site Owner), Assist: </w:t>
            </w:r>
            <w:r w:rsidR="005E4D53" w:rsidRPr="00104202">
              <w:rPr>
                <w:rFonts w:ascii="Calibri" w:hAnsi="Calibri" w:cs="Calibri"/>
                <w:color w:val="000000"/>
                <w:sz w:val="20"/>
                <w:szCs w:val="20"/>
              </w:rPr>
              <w:t>LSRP</w:t>
            </w:r>
          </w:p>
        </w:tc>
      </w:tr>
      <w:tr w:rsidR="00FA3143" w:rsidRPr="008F1FBA" w14:paraId="31F571D0" w14:textId="77777777" w:rsidTr="001F3C8E">
        <w:trPr>
          <w:trHeight w:val="269"/>
          <w:jc w:val="center"/>
        </w:trPr>
        <w:tc>
          <w:tcPr>
            <w:tcW w:w="11440" w:type="dxa"/>
            <w:tcBorders>
              <w:top w:val="nil"/>
              <w:left w:val="single" w:sz="4" w:space="0" w:color="auto"/>
              <w:bottom w:val="single" w:sz="4" w:space="0" w:color="auto"/>
              <w:right w:val="single" w:sz="4" w:space="0" w:color="auto"/>
            </w:tcBorders>
            <w:vAlign w:val="center"/>
            <w:hideMark/>
          </w:tcPr>
          <w:p w14:paraId="43EB38F9" w14:textId="0D382ACA" w:rsidR="00FA3143" w:rsidRPr="00104202" w:rsidRDefault="004C40BB" w:rsidP="00FA3143">
            <w:pPr>
              <w:suppressAutoHyphens w:val="0"/>
              <w:spacing w:after="0"/>
              <w:jc w:val="both"/>
              <w:rPr>
                <w:rFonts w:ascii="Calibri" w:hAnsi="Calibri" w:cs="Calibri"/>
                <w:color w:val="000000"/>
                <w:sz w:val="20"/>
                <w:szCs w:val="20"/>
              </w:rPr>
            </w:pPr>
            <w:r w:rsidRPr="00104202">
              <w:rPr>
                <w:rFonts w:ascii="Calibri" w:hAnsi="Calibri" w:cs="Calibri"/>
                <w:color w:val="000000"/>
                <w:sz w:val="20"/>
                <w:szCs w:val="20"/>
              </w:rPr>
              <w:t>e</w:t>
            </w:r>
            <w:r w:rsidR="00FA3143" w:rsidRPr="00104202">
              <w:rPr>
                <w:rFonts w:ascii="Calibri" w:hAnsi="Calibri" w:cs="Calibri"/>
                <w:color w:val="000000"/>
                <w:sz w:val="20"/>
                <w:szCs w:val="20"/>
              </w:rPr>
              <w:t xml:space="preserve">. Outputs: </w:t>
            </w:r>
            <w:r w:rsidR="00FF5C3E" w:rsidRPr="00104202">
              <w:rPr>
                <w:rFonts w:ascii="Calibri" w:hAnsi="Calibri" w:cs="Calibri"/>
                <w:color w:val="000000"/>
                <w:sz w:val="20"/>
                <w:szCs w:val="20"/>
              </w:rPr>
              <w:t>One</w:t>
            </w:r>
            <w:r w:rsidR="00FA3143" w:rsidRPr="00104202">
              <w:rPr>
                <w:rFonts w:ascii="Calibri" w:hAnsi="Calibri" w:cs="Calibri"/>
                <w:color w:val="000000"/>
                <w:sz w:val="20"/>
                <w:szCs w:val="20"/>
              </w:rPr>
              <w:t xml:space="preserve"> certificate of </w:t>
            </w:r>
            <w:r w:rsidRPr="00104202">
              <w:rPr>
                <w:rFonts w:ascii="Calibri" w:hAnsi="Calibri" w:cs="Calibri"/>
                <w:color w:val="000000"/>
                <w:sz w:val="20"/>
                <w:szCs w:val="20"/>
              </w:rPr>
              <w:t>completion</w:t>
            </w:r>
            <w:r w:rsidR="00FA3143" w:rsidRPr="00104202">
              <w:rPr>
                <w:rFonts w:ascii="Calibri" w:hAnsi="Calibri" w:cs="Calibri"/>
                <w:color w:val="000000"/>
                <w:sz w:val="20"/>
                <w:szCs w:val="20"/>
              </w:rPr>
              <w:t xml:space="preserve">, </w:t>
            </w:r>
            <w:r w:rsidR="00FF5C3E" w:rsidRPr="00104202">
              <w:rPr>
                <w:rFonts w:ascii="Calibri" w:hAnsi="Calibri" w:cs="Calibri"/>
                <w:color w:val="000000"/>
                <w:sz w:val="20"/>
                <w:szCs w:val="20"/>
              </w:rPr>
              <w:t>one</w:t>
            </w:r>
            <w:r w:rsidR="00FA3143" w:rsidRPr="00104202">
              <w:rPr>
                <w:rFonts w:ascii="Calibri" w:hAnsi="Calibri" w:cs="Calibri"/>
                <w:color w:val="000000"/>
                <w:sz w:val="20"/>
                <w:szCs w:val="20"/>
              </w:rPr>
              <w:t xml:space="preserve"> grant close-out report detailing cleanup progress and anticipated next steps</w:t>
            </w:r>
          </w:p>
        </w:tc>
      </w:tr>
    </w:tbl>
    <w:p w14:paraId="231A4251" w14:textId="02063E17" w:rsidR="00D83D66" w:rsidRPr="001F3C8E" w:rsidRDefault="00A66BB4" w:rsidP="00F4056D">
      <w:pPr>
        <w:pStyle w:val="Heading2"/>
      </w:pPr>
      <w:r w:rsidRPr="001F3C8E">
        <w:t>3.</w:t>
      </w:r>
      <w:r w:rsidR="004D5DA6" w:rsidRPr="001F3C8E">
        <w:t>f</w:t>
      </w:r>
      <w:r w:rsidR="00D83D66" w:rsidRPr="001F3C8E">
        <w:t>. Cost Estimates</w:t>
      </w:r>
    </w:p>
    <w:p w14:paraId="015EFBC2" w14:textId="037B8C8F" w:rsidR="00C83D96" w:rsidRPr="001F3C8E" w:rsidRDefault="007A770E" w:rsidP="00C83D96">
      <w:pPr>
        <w:rPr>
          <w:szCs w:val="24"/>
        </w:rPr>
      </w:pPr>
      <w:r w:rsidRPr="001F3C8E">
        <w:rPr>
          <w:szCs w:val="24"/>
        </w:rPr>
        <w:t xml:space="preserve">Mullica Township requests </w:t>
      </w:r>
      <w:r w:rsidRPr="001F3C8E">
        <w:rPr>
          <w:b/>
          <w:szCs w:val="24"/>
        </w:rPr>
        <w:t>$</w:t>
      </w:r>
      <w:r w:rsidRPr="001F3C8E">
        <w:rPr>
          <w:b/>
          <w:bCs/>
          <w:szCs w:val="24"/>
        </w:rPr>
        <w:t>4,000,000</w:t>
      </w:r>
      <w:r w:rsidRPr="001F3C8E">
        <w:rPr>
          <w:szCs w:val="24"/>
        </w:rPr>
        <w:t xml:space="preserve"> in EPA Cleanup Grant funding. Costs are reasonable, realistic, and correlate with tasks and outputs. Administrative costs will not exceed 5% of total EPA funds (per </w:t>
      </w:r>
      <w:r w:rsidR="00811F98" w:rsidRPr="001F3C8E">
        <w:rPr>
          <w:szCs w:val="24"/>
        </w:rPr>
        <w:t>the Notice of Funding Opportunity [</w:t>
      </w:r>
      <w:r w:rsidRPr="001F3C8E">
        <w:rPr>
          <w:szCs w:val="24"/>
        </w:rPr>
        <w:t>NOFO</w:t>
      </w:r>
      <w:r w:rsidR="00811F98" w:rsidRPr="001F3C8E">
        <w:rPr>
          <w:szCs w:val="24"/>
        </w:rPr>
        <w:t>]</w:t>
      </w:r>
      <w:r w:rsidRPr="001F3C8E">
        <w:rPr>
          <w:szCs w:val="24"/>
        </w:rPr>
        <w:t>), and construction</w:t>
      </w:r>
      <w:r w:rsidRPr="001F3C8E">
        <w:rPr>
          <w:rFonts w:ascii="Cambria Math" w:hAnsi="Cambria Math" w:cs="Cambria Math"/>
          <w:szCs w:val="24"/>
        </w:rPr>
        <w:t>‑</w:t>
      </w:r>
      <w:r w:rsidRPr="001F3C8E">
        <w:rPr>
          <w:szCs w:val="24"/>
        </w:rPr>
        <w:t>related activities are identified on the Construction budget line consistent with EPA guidance.</w:t>
      </w:r>
      <w:r w:rsidR="00C83D96" w:rsidRPr="001F3C8E">
        <w:rPr>
          <w:szCs w:val="24"/>
          <w:highlight w:val="yellow"/>
        </w:rPr>
        <w:t xml:space="preserve"> </w:t>
      </w:r>
    </w:p>
    <w:p w14:paraId="7499FB93" w14:textId="07363FD7" w:rsidR="00174B50" w:rsidRPr="008F1FBA" w:rsidRDefault="00AB71CD" w:rsidP="001F3C8E">
      <w:pPr>
        <w:pStyle w:val="TableTitle"/>
      </w:pPr>
      <w:r w:rsidRPr="008F1FBA">
        <w:t xml:space="preserve">Table </w:t>
      </w:r>
      <w:r w:rsidR="00607B47">
        <w:t>6</w:t>
      </w:r>
      <w:r w:rsidRPr="008F1FBA">
        <w:t>. Budget Table</w:t>
      </w:r>
    </w:p>
    <w:tbl>
      <w:tblPr>
        <w:tblW w:w="11040" w:type="dxa"/>
        <w:jc w:val="center"/>
        <w:tblLook w:val="04A0" w:firstRow="1" w:lastRow="0" w:firstColumn="1" w:lastColumn="0" w:noHBand="0" w:noVBand="1"/>
      </w:tblPr>
      <w:tblGrid>
        <w:gridCol w:w="740"/>
        <w:gridCol w:w="2050"/>
        <w:gridCol w:w="1555"/>
        <w:gridCol w:w="1595"/>
        <w:gridCol w:w="1530"/>
        <w:gridCol w:w="1630"/>
        <w:gridCol w:w="1940"/>
      </w:tblGrid>
      <w:tr w:rsidR="00B72F14" w:rsidRPr="00BD6E47" w14:paraId="5F1DAEA2" w14:textId="77777777" w:rsidTr="001F3C8E">
        <w:trPr>
          <w:trHeight w:val="282"/>
          <w:jc w:val="center"/>
        </w:trPr>
        <w:tc>
          <w:tcPr>
            <w:tcW w:w="2790" w:type="dxa"/>
            <w:gridSpan w:val="2"/>
            <w:vMerge w:val="restart"/>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3CFF8D4F" w14:textId="77777777" w:rsidR="00B72F14" w:rsidRPr="00104202" w:rsidRDefault="00B72F14" w:rsidP="00B72F14">
            <w:pPr>
              <w:suppressAutoHyphens w:val="0"/>
              <w:spacing w:after="0"/>
              <w:jc w:val="center"/>
              <w:rPr>
                <w:rFonts w:ascii="Calibri" w:hAnsi="Calibri" w:cs="Calibri"/>
                <w:b/>
                <w:bCs/>
                <w:color w:val="000000"/>
                <w:sz w:val="20"/>
                <w:szCs w:val="20"/>
              </w:rPr>
            </w:pPr>
            <w:r w:rsidRPr="00104202">
              <w:rPr>
                <w:rFonts w:ascii="Calibri" w:hAnsi="Calibri" w:cs="Calibri"/>
                <w:b/>
                <w:bCs/>
                <w:color w:val="000000"/>
                <w:sz w:val="20"/>
                <w:szCs w:val="20"/>
              </w:rPr>
              <w:t xml:space="preserve">Budget Categories </w:t>
            </w:r>
          </w:p>
        </w:tc>
        <w:tc>
          <w:tcPr>
            <w:tcW w:w="8250" w:type="dxa"/>
            <w:gridSpan w:val="5"/>
            <w:tcBorders>
              <w:top w:val="single" w:sz="4" w:space="0" w:color="auto"/>
              <w:left w:val="nil"/>
              <w:bottom w:val="single" w:sz="4" w:space="0" w:color="auto"/>
              <w:right w:val="single" w:sz="4" w:space="0" w:color="auto"/>
            </w:tcBorders>
            <w:shd w:val="clear" w:color="000000" w:fill="D0D0D0"/>
            <w:noWrap/>
            <w:vAlign w:val="center"/>
            <w:hideMark/>
          </w:tcPr>
          <w:p w14:paraId="32DCE3D8" w14:textId="77777777" w:rsidR="00B72F14" w:rsidRPr="00104202" w:rsidRDefault="00B72F14" w:rsidP="00B72F14">
            <w:pPr>
              <w:suppressAutoHyphens w:val="0"/>
              <w:spacing w:after="0"/>
              <w:jc w:val="center"/>
              <w:rPr>
                <w:rFonts w:ascii="Calibri" w:hAnsi="Calibri" w:cs="Calibri"/>
                <w:b/>
                <w:bCs/>
                <w:color w:val="000000"/>
                <w:sz w:val="20"/>
                <w:szCs w:val="20"/>
              </w:rPr>
            </w:pPr>
            <w:r w:rsidRPr="00104202">
              <w:rPr>
                <w:rFonts w:ascii="Calibri" w:hAnsi="Calibri" w:cs="Calibri"/>
                <w:b/>
                <w:bCs/>
                <w:color w:val="000000"/>
                <w:sz w:val="20"/>
                <w:szCs w:val="20"/>
              </w:rPr>
              <w:t>Project Tasks ($)</w:t>
            </w:r>
          </w:p>
        </w:tc>
      </w:tr>
      <w:tr w:rsidR="00B72F14" w:rsidRPr="00BD6E47" w14:paraId="57FB8F3B" w14:textId="77777777" w:rsidTr="001F3C8E">
        <w:trPr>
          <w:trHeight w:val="368"/>
          <w:jc w:val="center"/>
        </w:trPr>
        <w:tc>
          <w:tcPr>
            <w:tcW w:w="2790" w:type="dxa"/>
            <w:gridSpan w:val="2"/>
            <w:vMerge/>
            <w:tcBorders>
              <w:top w:val="single" w:sz="4" w:space="0" w:color="auto"/>
              <w:left w:val="single" w:sz="4" w:space="0" w:color="auto"/>
              <w:bottom w:val="single" w:sz="4" w:space="0" w:color="auto"/>
              <w:right w:val="single" w:sz="4" w:space="0" w:color="auto"/>
            </w:tcBorders>
            <w:vAlign w:val="center"/>
            <w:hideMark/>
          </w:tcPr>
          <w:p w14:paraId="10C15C8A" w14:textId="77777777" w:rsidR="00B72F14" w:rsidRPr="00104202" w:rsidRDefault="00B72F14" w:rsidP="00B72F14">
            <w:pPr>
              <w:suppressAutoHyphens w:val="0"/>
              <w:spacing w:after="0"/>
              <w:rPr>
                <w:rFonts w:ascii="Calibri" w:hAnsi="Calibri" w:cs="Calibri"/>
                <w:b/>
                <w:bCs/>
                <w:color w:val="000000"/>
                <w:sz w:val="20"/>
                <w:szCs w:val="20"/>
              </w:rPr>
            </w:pPr>
          </w:p>
        </w:tc>
        <w:tc>
          <w:tcPr>
            <w:tcW w:w="1555" w:type="dxa"/>
            <w:tcBorders>
              <w:top w:val="nil"/>
              <w:left w:val="nil"/>
              <w:bottom w:val="single" w:sz="4" w:space="0" w:color="auto"/>
              <w:right w:val="single" w:sz="4" w:space="0" w:color="auto"/>
            </w:tcBorders>
            <w:shd w:val="clear" w:color="000000" w:fill="D0D0D0"/>
            <w:vAlign w:val="center"/>
            <w:hideMark/>
          </w:tcPr>
          <w:p w14:paraId="6507CBE2" w14:textId="77777777" w:rsidR="00B72F14" w:rsidRPr="00104202" w:rsidRDefault="00B72F14" w:rsidP="00B72F14">
            <w:pPr>
              <w:suppressAutoHyphens w:val="0"/>
              <w:spacing w:after="0"/>
              <w:jc w:val="center"/>
              <w:rPr>
                <w:rFonts w:ascii="Calibri" w:hAnsi="Calibri" w:cs="Calibri"/>
                <w:b/>
                <w:bCs/>
                <w:color w:val="000000"/>
                <w:sz w:val="20"/>
                <w:szCs w:val="20"/>
              </w:rPr>
            </w:pPr>
            <w:r w:rsidRPr="00104202">
              <w:rPr>
                <w:rFonts w:ascii="Calibri" w:hAnsi="Calibri" w:cs="Calibri"/>
                <w:b/>
                <w:bCs/>
                <w:color w:val="000000"/>
                <w:sz w:val="20"/>
                <w:szCs w:val="20"/>
              </w:rPr>
              <w:t xml:space="preserve">Task 1: Project Management </w:t>
            </w:r>
          </w:p>
        </w:tc>
        <w:tc>
          <w:tcPr>
            <w:tcW w:w="1595" w:type="dxa"/>
            <w:tcBorders>
              <w:top w:val="nil"/>
              <w:left w:val="nil"/>
              <w:bottom w:val="single" w:sz="4" w:space="0" w:color="auto"/>
              <w:right w:val="single" w:sz="4" w:space="0" w:color="auto"/>
            </w:tcBorders>
            <w:shd w:val="clear" w:color="000000" w:fill="D0D0D0"/>
            <w:vAlign w:val="center"/>
            <w:hideMark/>
          </w:tcPr>
          <w:p w14:paraId="77258E51" w14:textId="77777777" w:rsidR="00B72F14" w:rsidRPr="00104202" w:rsidRDefault="00B72F14" w:rsidP="00B72F14">
            <w:pPr>
              <w:suppressAutoHyphens w:val="0"/>
              <w:spacing w:after="0"/>
              <w:jc w:val="center"/>
              <w:rPr>
                <w:rFonts w:ascii="Calibri" w:hAnsi="Calibri" w:cs="Calibri"/>
                <w:b/>
                <w:bCs/>
                <w:color w:val="000000"/>
                <w:sz w:val="20"/>
                <w:szCs w:val="20"/>
              </w:rPr>
            </w:pPr>
            <w:r w:rsidRPr="00104202">
              <w:rPr>
                <w:rFonts w:ascii="Calibri" w:hAnsi="Calibri" w:cs="Calibri"/>
                <w:b/>
                <w:bCs/>
                <w:color w:val="000000"/>
                <w:sz w:val="20"/>
                <w:szCs w:val="20"/>
              </w:rPr>
              <w:t xml:space="preserve">Task 2: Community Outreach </w:t>
            </w:r>
          </w:p>
        </w:tc>
        <w:tc>
          <w:tcPr>
            <w:tcW w:w="1530" w:type="dxa"/>
            <w:tcBorders>
              <w:top w:val="nil"/>
              <w:left w:val="nil"/>
              <w:bottom w:val="single" w:sz="4" w:space="0" w:color="auto"/>
              <w:right w:val="single" w:sz="4" w:space="0" w:color="auto"/>
            </w:tcBorders>
            <w:shd w:val="clear" w:color="000000" w:fill="D0D0D0"/>
            <w:vAlign w:val="center"/>
            <w:hideMark/>
          </w:tcPr>
          <w:p w14:paraId="76D1A4DF" w14:textId="77777777" w:rsidR="00B72F14" w:rsidRPr="00104202" w:rsidRDefault="00B72F14" w:rsidP="00B72F14">
            <w:pPr>
              <w:suppressAutoHyphens w:val="0"/>
              <w:spacing w:after="0"/>
              <w:jc w:val="center"/>
              <w:rPr>
                <w:rFonts w:ascii="Calibri" w:hAnsi="Calibri" w:cs="Calibri"/>
                <w:b/>
                <w:bCs/>
                <w:color w:val="000000"/>
                <w:sz w:val="20"/>
                <w:szCs w:val="20"/>
              </w:rPr>
            </w:pPr>
            <w:r w:rsidRPr="00104202">
              <w:rPr>
                <w:rFonts w:ascii="Calibri" w:hAnsi="Calibri" w:cs="Calibri"/>
                <w:b/>
                <w:bCs/>
                <w:color w:val="000000"/>
                <w:sz w:val="20"/>
                <w:szCs w:val="20"/>
              </w:rPr>
              <w:t xml:space="preserve">Task 3: Cleanup Planning </w:t>
            </w:r>
          </w:p>
        </w:tc>
        <w:tc>
          <w:tcPr>
            <w:tcW w:w="1630" w:type="dxa"/>
            <w:tcBorders>
              <w:top w:val="nil"/>
              <w:left w:val="nil"/>
              <w:bottom w:val="single" w:sz="4" w:space="0" w:color="auto"/>
              <w:right w:val="single" w:sz="4" w:space="0" w:color="auto"/>
            </w:tcBorders>
            <w:shd w:val="clear" w:color="000000" w:fill="D0D0D0"/>
            <w:vAlign w:val="center"/>
            <w:hideMark/>
          </w:tcPr>
          <w:p w14:paraId="63AEEB22" w14:textId="77777777" w:rsidR="00B72F14" w:rsidRPr="00104202" w:rsidRDefault="00B72F14" w:rsidP="00B72F14">
            <w:pPr>
              <w:suppressAutoHyphens w:val="0"/>
              <w:spacing w:after="0"/>
              <w:jc w:val="center"/>
              <w:rPr>
                <w:rFonts w:ascii="Calibri" w:hAnsi="Calibri" w:cs="Calibri"/>
                <w:b/>
                <w:bCs/>
                <w:color w:val="000000"/>
                <w:sz w:val="20"/>
                <w:szCs w:val="20"/>
              </w:rPr>
            </w:pPr>
            <w:r w:rsidRPr="00104202">
              <w:rPr>
                <w:rFonts w:ascii="Calibri" w:hAnsi="Calibri" w:cs="Calibri"/>
                <w:b/>
                <w:bCs/>
                <w:color w:val="000000"/>
                <w:sz w:val="20"/>
                <w:szCs w:val="20"/>
              </w:rPr>
              <w:t xml:space="preserve">Task 4: Site Cleanup </w:t>
            </w:r>
          </w:p>
        </w:tc>
        <w:tc>
          <w:tcPr>
            <w:tcW w:w="1940" w:type="dxa"/>
            <w:tcBorders>
              <w:top w:val="nil"/>
              <w:left w:val="nil"/>
              <w:bottom w:val="single" w:sz="4" w:space="0" w:color="auto"/>
              <w:right w:val="single" w:sz="4" w:space="0" w:color="auto"/>
            </w:tcBorders>
            <w:shd w:val="clear" w:color="000000" w:fill="D0D0D0"/>
            <w:vAlign w:val="center"/>
            <w:hideMark/>
          </w:tcPr>
          <w:p w14:paraId="487F5563" w14:textId="77777777" w:rsidR="00B72F14" w:rsidRPr="00104202" w:rsidRDefault="00B72F14" w:rsidP="00B72F14">
            <w:pPr>
              <w:suppressAutoHyphens w:val="0"/>
              <w:spacing w:after="0"/>
              <w:jc w:val="center"/>
              <w:rPr>
                <w:rFonts w:ascii="Calibri" w:hAnsi="Calibri" w:cs="Calibri"/>
                <w:b/>
                <w:bCs/>
                <w:color w:val="000000"/>
                <w:sz w:val="20"/>
                <w:szCs w:val="20"/>
              </w:rPr>
            </w:pPr>
            <w:r w:rsidRPr="00104202">
              <w:rPr>
                <w:rFonts w:ascii="Calibri" w:hAnsi="Calibri" w:cs="Calibri"/>
                <w:b/>
                <w:bCs/>
                <w:color w:val="000000"/>
                <w:sz w:val="20"/>
                <w:szCs w:val="20"/>
              </w:rPr>
              <w:t xml:space="preserve">Total </w:t>
            </w:r>
          </w:p>
        </w:tc>
      </w:tr>
      <w:tr w:rsidR="00E76C5E" w:rsidRPr="00BD6E47" w14:paraId="3DB4361E" w14:textId="77777777" w:rsidTr="00B83A0A">
        <w:trPr>
          <w:cantSplit/>
          <w:trHeight w:val="101"/>
          <w:jc w:val="center"/>
        </w:trPr>
        <w:tc>
          <w:tcPr>
            <w:tcW w:w="740" w:type="dxa"/>
            <w:vMerge w:val="restart"/>
            <w:tcBorders>
              <w:top w:val="nil"/>
              <w:left w:val="single" w:sz="4" w:space="0" w:color="auto"/>
              <w:bottom w:val="double" w:sz="6" w:space="0" w:color="000000"/>
              <w:right w:val="single" w:sz="4" w:space="0" w:color="auto"/>
            </w:tcBorders>
            <w:shd w:val="clear" w:color="000000" w:fill="D0D0D0"/>
            <w:noWrap/>
            <w:textDirection w:val="btLr"/>
            <w:vAlign w:val="center"/>
            <w:hideMark/>
          </w:tcPr>
          <w:p w14:paraId="68B2A339" w14:textId="77777777" w:rsidR="004E51BD" w:rsidRPr="00104202" w:rsidRDefault="004E51BD" w:rsidP="004E51BD">
            <w:pPr>
              <w:suppressAutoHyphens w:val="0"/>
              <w:spacing w:after="0"/>
              <w:jc w:val="center"/>
              <w:rPr>
                <w:rFonts w:ascii="Calibri" w:hAnsi="Calibri" w:cs="Calibri"/>
                <w:b/>
                <w:bCs/>
                <w:color w:val="000000"/>
                <w:sz w:val="20"/>
                <w:szCs w:val="20"/>
              </w:rPr>
            </w:pPr>
            <w:r w:rsidRPr="00104202">
              <w:rPr>
                <w:rFonts w:ascii="Calibri" w:hAnsi="Calibri" w:cs="Calibri"/>
                <w:b/>
                <w:bCs/>
                <w:color w:val="000000"/>
                <w:sz w:val="20"/>
                <w:szCs w:val="20"/>
              </w:rPr>
              <w:t xml:space="preserve">Direct Costs </w:t>
            </w:r>
          </w:p>
        </w:tc>
        <w:tc>
          <w:tcPr>
            <w:tcW w:w="2050" w:type="dxa"/>
            <w:tcBorders>
              <w:top w:val="nil"/>
              <w:left w:val="nil"/>
              <w:bottom w:val="single" w:sz="4" w:space="0" w:color="auto"/>
              <w:right w:val="single" w:sz="4" w:space="0" w:color="auto"/>
            </w:tcBorders>
            <w:noWrap/>
            <w:vAlign w:val="bottom"/>
            <w:hideMark/>
          </w:tcPr>
          <w:p w14:paraId="282CA4EA" w14:textId="77777777" w:rsidR="004E51BD" w:rsidRPr="00104202" w:rsidRDefault="004E51BD" w:rsidP="004E51BD">
            <w:pPr>
              <w:suppressAutoHyphens w:val="0"/>
              <w:spacing w:after="0"/>
              <w:jc w:val="right"/>
              <w:rPr>
                <w:rFonts w:ascii="Calibri" w:hAnsi="Calibri" w:cs="Calibri"/>
                <w:color w:val="000000"/>
                <w:sz w:val="20"/>
                <w:szCs w:val="20"/>
              </w:rPr>
            </w:pPr>
            <w:r w:rsidRPr="00104202">
              <w:rPr>
                <w:rFonts w:ascii="Calibri" w:hAnsi="Calibri" w:cs="Calibri"/>
                <w:color w:val="000000"/>
                <w:sz w:val="20"/>
                <w:szCs w:val="20"/>
              </w:rPr>
              <w:t>Personnel</w:t>
            </w:r>
          </w:p>
        </w:tc>
        <w:tc>
          <w:tcPr>
            <w:tcW w:w="1555" w:type="dxa"/>
            <w:tcBorders>
              <w:top w:val="nil"/>
              <w:left w:val="nil"/>
              <w:bottom w:val="single" w:sz="4" w:space="0" w:color="auto"/>
              <w:right w:val="single" w:sz="4" w:space="0" w:color="auto"/>
            </w:tcBorders>
            <w:noWrap/>
            <w:vAlign w:val="bottom"/>
            <w:hideMark/>
          </w:tcPr>
          <w:p w14:paraId="53BF6B5D" w14:textId="6B4A7FBC" w:rsidR="004E51BD" w:rsidRPr="00104202" w:rsidRDefault="004E51BD" w:rsidP="004E51BD">
            <w:pPr>
              <w:suppressAutoHyphens w:val="0"/>
              <w:spacing w:after="0"/>
              <w:rPr>
                <w:rFonts w:ascii="Calibri" w:hAnsi="Calibri" w:cs="Calibri"/>
                <w:color w:val="000000"/>
                <w:sz w:val="20"/>
                <w:szCs w:val="20"/>
              </w:rPr>
            </w:pPr>
            <w:r w:rsidRPr="00104202">
              <w:rPr>
                <w:rFonts w:ascii="Calibri" w:hAnsi="Calibri" w:cs="Calibri"/>
                <w:color w:val="000000"/>
                <w:sz w:val="20"/>
                <w:szCs w:val="20"/>
              </w:rPr>
              <w:t xml:space="preserve"> $         6,100 </w:t>
            </w:r>
          </w:p>
        </w:tc>
        <w:tc>
          <w:tcPr>
            <w:tcW w:w="1595" w:type="dxa"/>
            <w:tcBorders>
              <w:top w:val="nil"/>
              <w:left w:val="nil"/>
              <w:bottom w:val="single" w:sz="4" w:space="0" w:color="auto"/>
              <w:right w:val="single" w:sz="4" w:space="0" w:color="auto"/>
            </w:tcBorders>
            <w:noWrap/>
            <w:vAlign w:val="bottom"/>
            <w:hideMark/>
          </w:tcPr>
          <w:p w14:paraId="7186BE20" w14:textId="7BD170BB" w:rsidR="004E51BD" w:rsidRPr="00104202" w:rsidRDefault="004E51BD" w:rsidP="004E51BD">
            <w:pPr>
              <w:suppressAutoHyphens w:val="0"/>
              <w:spacing w:after="0"/>
              <w:rPr>
                <w:rFonts w:ascii="Calibri" w:hAnsi="Calibri" w:cs="Calibri"/>
                <w:color w:val="000000"/>
                <w:sz w:val="20"/>
                <w:szCs w:val="20"/>
              </w:rPr>
            </w:pPr>
            <w:r w:rsidRPr="00104202">
              <w:rPr>
                <w:rFonts w:ascii="Calibri" w:hAnsi="Calibri" w:cs="Calibri"/>
                <w:color w:val="000000"/>
                <w:sz w:val="20"/>
                <w:szCs w:val="20"/>
              </w:rPr>
              <w:t xml:space="preserve"> $         7,000 </w:t>
            </w:r>
          </w:p>
        </w:tc>
        <w:tc>
          <w:tcPr>
            <w:tcW w:w="1530" w:type="dxa"/>
            <w:tcBorders>
              <w:top w:val="nil"/>
              <w:left w:val="nil"/>
              <w:bottom w:val="single" w:sz="4" w:space="0" w:color="auto"/>
              <w:right w:val="single" w:sz="4" w:space="0" w:color="auto"/>
            </w:tcBorders>
            <w:noWrap/>
            <w:vAlign w:val="bottom"/>
            <w:hideMark/>
          </w:tcPr>
          <w:p w14:paraId="5938CEAE" w14:textId="0814DCFE"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6,250 </w:t>
            </w:r>
          </w:p>
        </w:tc>
        <w:tc>
          <w:tcPr>
            <w:tcW w:w="1630" w:type="dxa"/>
            <w:tcBorders>
              <w:top w:val="nil"/>
              <w:left w:val="nil"/>
              <w:bottom w:val="single" w:sz="4" w:space="0" w:color="auto"/>
              <w:right w:val="single" w:sz="4" w:space="0" w:color="auto"/>
            </w:tcBorders>
            <w:noWrap/>
            <w:vAlign w:val="bottom"/>
            <w:hideMark/>
          </w:tcPr>
          <w:p w14:paraId="735DC931" w14:textId="236EA3EA" w:rsidR="004E51BD" w:rsidRPr="00104202" w:rsidRDefault="004E51BD" w:rsidP="004E51BD">
            <w:pPr>
              <w:suppressAutoHyphens w:val="0"/>
              <w:spacing w:after="0"/>
              <w:rPr>
                <w:rFonts w:ascii="Calibri" w:hAnsi="Calibri" w:cs="Calibri"/>
                <w:color w:val="000000"/>
                <w:sz w:val="20"/>
                <w:szCs w:val="20"/>
              </w:rPr>
            </w:pPr>
            <w:r w:rsidRPr="00104202" w:rsidDel="008F7A7C">
              <w:rPr>
                <w:rFonts w:ascii="Calibri" w:hAnsi="Calibri" w:cs="Calibri"/>
                <w:color w:val="000000"/>
                <w:sz w:val="20"/>
                <w:szCs w:val="20"/>
              </w:rPr>
              <w:t xml:space="preserve"> $         8,000 </w:t>
            </w:r>
          </w:p>
        </w:tc>
        <w:tc>
          <w:tcPr>
            <w:tcW w:w="1940" w:type="dxa"/>
            <w:tcBorders>
              <w:top w:val="nil"/>
              <w:left w:val="nil"/>
              <w:bottom w:val="single" w:sz="4" w:space="0" w:color="auto"/>
              <w:right w:val="single" w:sz="4" w:space="0" w:color="auto"/>
            </w:tcBorders>
            <w:noWrap/>
            <w:vAlign w:val="bottom"/>
            <w:hideMark/>
          </w:tcPr>
          <w:p w14:paraId="6FFC50CA" w14:textId="6692FEDA"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27,350 </w:t>
            </w:r>
          </w:p>
        </w:tc>
      </w:tr>
      <w:tr w:rsidR="008F1FBA" w:rsidRPr="00BD6E47" w14:paraId="227D9157" w14:textId="77777777" w:rsidTr="00B83A0A">
        <w:trPr>
          <w:cantSplit/>
          <w:trHeight w:val="101"/>
          <w:jc w:val="center"/>
        </w:trPr>
        <w:tc>
          <w:tcPr>
            <w:tcW w:w="740" w:type="dxa"/>
            <w:vMerge/>
            <w:tcBorders>
              <w:top w:val="nil"/>
              <w:left w:val="single" w:sz="4" w:space="0" w:color="auto"/>
              <w:bottom w:val="double" w:sz="6" w:space="0" w:color="000000"/>
              <w:right w:val="single" w:sz="4" w:space="0" w:color="auto"/>
            </w:tcBorders>
            <w:vAlign w:val="center"/>
            <w:hideMark/>
          </w:tcPr>
          <w:p w14:paraId="458CE38E" w14:textId="77777777" w:rsidR="004E51BD" w:rsidRPr="00104202" w:rsidRDefault="004E51BD" w:rsidP="004E51BD">
            <w:pPr>
              <w:suppressAutoHyphens w:val="0"/>
              <w:spacing w:after="0"/>
              <w:rPr>
                <w:rFonts w:ascii="Calibri" w:hAnsi="Calibri" w:cs="Calibri"/>
                <w:b/>
                <w:bCs/>
                <w:color w:val="000000"/>
                <w:sz w:val="20"/>
                <w:szCs w:val="20"/>
              </w:rPr>
            </w:pPr>
          </w:p>
        </w:tc>
        <w:tc>
          <w:tcPr>
            <w:tcW w:w="2050" w:type="dxa"/>
            <w:tcBorders>
              <w:top w:val="nil"/>
              <w:left w:val="nil"/>
              <w:bottom w:val="single" w:sz="4" w:space="0" w:color="auto"/>
              <w:right w:val="single" w:sz="4" w:space="0" w:color="auto"/>
            </w:tcBorders>
            <w:noWrap/>
            <w:vAlign w:val="bottom"/>
            <w:hideMark/>
          </w:tcPr>
          <w:p w14:paraId="4902A370" w14:textId="77777777" w:rsidR="004E51BD" w:rsidRPr="00104202" w:rsidRDefault="004E51BD" w:rsidP="004E51BD">
            <w:pPr>
              <w:suppressAutoHyphens w:val="0"/>
              <w:spacing w:after="0"/>
              <w:jc w:val="right"/>
              <w:rPr>
                <w:rFonts w:ascii="Calibri" w:hAnsi="Calibri" w:cs="Calibri"/>
                <w:color w:val="000000"/>
                <w:sz w:val="20"/>
                <w:szCs w:val="20"/>
              </w:rPr>
            </w:pPr>
            <w:r w:rsidRPr="00104202">
              <w:rPr>
                <w:rFonts w:ascii="Calibri" w:hAnsi="Calibri" w:cs="Calibri"/>
                <w:color w:val="000000"/>
                <w:sz w:val="20"/>
                <w:szCs w:val="20"/>
              </w:rPr>
              <w:t xml:space="preserve">Fringe </w:t>
            </w:r>
          </w:p>
        </w:tc>
        <w:tc>
          <w:tcPr>
            <w:tcW w:w="1555" w:type="dxa"/>
            <w:tcBorders>
              <w:top w:val="nil"/>
              <w:left w:val="nil"/>
              <w:bottom w:val="single" w:sz="4" w:space="0" w:color="auto"/>
              <w:right w:val="single" w:sz="4" w:space="0" w:color="auto"/>
            </w:tcBorders>
            <w:noWrap/>
            <w:vAlign w:val="bottom"/>
            <w:hideMark/>
          </w:tcPr>
          <w:p w14:paraId="0544EC43" w14:textId="3047EFE6"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2,440 </w:t>
            </w:r>
          </w:p>
        </w:tc>
        <w:tc>
          <w:tcPr>
            <w:tcW w:w="1595" w:type="dxa"/>
            <w:tcBorders>
              <w:top w:val="nil"/>
              <w:left w:val="nil"/>
              <w:bottom w:val="single" w:sz="4" w:space="0" w:color="auto"/>
              <w:right w:val="single" w:sz="4" w:space="0" w:color="auto"/>
            </w:tcBorders>
            <w:noWrap/>
            <w:vAlign w:val="bottom"/>
            <w:hideMark/>
          </w:tcPr>
          <w:p w14:paraId="40288162" w14:textId="52CB2A50"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2,800 </w:t>
            </w:r>
          </w:p>
        </w:tc>
        <w:tc>
          <w:tcPr>
            <w:tcW w:w="1530" w:type="dxa"/>
            <w:tcBorders>
              <w:top w:val="nil"/>
              <w:left w:val="nil"/>
              <w:bottom w:val="single" w:sz="4" w:space="0" w:color="auto"/>
              <w:right w:val="single" w:sz="4" w:space="0" w:color="auto"/>
            </w:tcBorders>
            <w:noWrap/>
            <w:vAlign w:val="bottom"/>
            <w:hideMark/>
          </w:tcPr>
          <w:p w14:paraId="6CF86B89" w14:textId="3DCBDA6F"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2,500 </w:t>
            </w:r>
          </w:p>
        </w:tc>
        <w:tc>
          <w:tcPr>
            <w:tcW w:w="1630" w:type="dxa"/>
            <w:tcBorders>
              <w:top w:val="nil"/>
              <w:left w:val="nil"/>
              <w:bottom w:val="single" w:sz="4" w:space="0" w:color="auto"/>
              <w:right w:val="single" w:sz="4" w:space="0" w:color="auto"/>
            </w:tcBorders>
            <w:noWrap/>
            <w:vAlign w:val="bottom"/>
            <w:hideMark/>
          </w:tcPr>
          <w:p w14:paraId="114245EF" w14:textId="4EA5DC18" w:rsidR="004E51BD" w:rsidRPr="00104202" w:rsidRDefault="004E51BD" w:rsidP="004E51BD">
            <w:pPr>
              <w:suppressAutoHyphens w:val="0"/>
              <w:spacing w:after="0"/>
              <w:rPr>
                <w:rFonts w:ascii="Calibri" w:hAnsi="Calibri" w:cs="Calibri"/>
                <w:color w:val="000000"/>
                <w:sz w:val="20"/>
                <w:szCs w:val="20"/>
              </w:rPr>
            </w:pPr>
            <w:r w:rsidRPr="00104202" w:rsidDel="00F82848">
              <w:rPr>
                <w:rFonts w:ascii="Calibri" w:hAnsi="Calibri" w:cs="Calibri"/>
                <w:color w:val="000000"/>
                <w:sz w:val="20"/>
                <w:szCs w:val="20"/>
              </w:rPr>
              <w:t xml:space="preserve"> $         3,200 </w:t>
            </w:r>
          </w:p>
        </w:tc>
        <w:tc>
          <w:tcPr>
            <w:tcW w:w="1940" w:type="dxa"/>
            <w:tcBorders>
              <w:top w:val="nil"/>
              <w:left w:val="nil"/>
              <w:bottom w:val="single" w:sz="4" w:space="0" w:color="auto"/>
              <w:right w:val="single" w:sz="4" w:space="0" w:color="auto"/>
            </w:tcBorders>
            <w:noWrap/>
            <w:vAlign w:val="bottom"/>
            <w:hideMark/>
          </w:tcPr>
          <w:p w14:paraId="36818950" w14:textId="4BF96A19"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10,940 </w:t>
            </w:r>
          </w:p>
        </w:tc>
      </w:tr>
      <w:tr w:rsidR="008F1FBA" w:rsidRPr="00BD6E47" w14:paraId="5BB92735" w14:textId="77777777" w:rsidTr="00B83A0A">
        <w:trPr>
          <w:cantSplit/>
          <w:trHeight w:val="101"/>
          <w:jc w:val="center"/>
        </w:trPr>
        <w:tc>
          <w:tcPr>
            <w:tcW w:w="740" w:type="dxa"/>
            <w:vMerge/>
            <w:tcBorders>
              <w:top w:val="nil"/>
              <w:left w:val="single" w:sz="4" w:space="0" w:color="auto"/>
              <w:bottom w:val="double" w:sz="6" w:space="0" w:color="000000"/>
              <w:right w:val="single" w:sz="4" w:space="0" w:color="auto"/>
            </w:tcBorders>
            <w:vAlign w:val="center"/>
            <w:hideMark/>
          </w:tcPr>
          <w:p w14:paraId="463D70D3" w14:textId="77777777" w:rsidR="004E51BD" w:rsidRPr="00104202" w:rsidRDefault="004E51BD" w:rsidP="004E51BD">
            <w:pPr>
              <w:suppressAutoHyphens w:val="0"/>
              <w:spacing w:after="0"/>
              <w:rPr>
                <w:rFonts w:ascii="Calibri" w:hAnsi="Calibri" w:cs="Calibri"/>
                <w:b/>
                <w:bCs/>
                <w:color w:val="000000"/>
                <w:sz w:val="20"/>
                <w:szCs w:val="20"/>
              </w:rPr>
            </w:pPr>
          </w:p>
        </w:tc>
        <w:tc>
          <w:tcPr>
            <w:tcW w:w="2050" w:type="dxa"/>
            <w:tcBorders>
              <w:top w:val="nil"/>
              <w:left w:val="nil"/>
              <w:bottom w:val="single" w:sz="4" w:space="0" w:color="auto"/>
              <w:right w:val="single" w:sz="4" w:space="0" w:color="auto"/>
            </w:tcBorders>
            <w:noWrap/>
            <w:vAlign w:val="bottom"/>
            <w:hideMark/>
          </w:tcPr>
          <w:p w14:paraId="3E1E2DA9" w14:textId="77777777" w:rsidR="004E51BD" w:rsidRPr="00104202" w:rsidRDefault="004E51BD" w:rsidP="004E51BD">
            <w:pPr>
              <w:suppressAutoHyphens w:val="0"/>
              <w:spacing w:after="0"/>
              <w:jc w:val="right"/>
              <w:rPr>
                <w:rFonts w:ascii="Calibri" w:hAnsi="Calibri" w:cs="Calibri"/>
                <w:color w:val="000000"/>
                <w:sz w:val="20"/>
                <w:szCs w:val="20"/>
              </w:rPr>
            </w:pPr>
            <w:r w:rsidRPr="00104202">
              <w:rPr>
                <w:rFonts w:ascii="Calibri" w:hAnsi="Calibri" w:cs="Calibri"/>
                <w:color w:val="000000"/>
                <w:sz w:val="20"/>
                <w:szCs w:val="20"/>
              </w:rPr>
              <w:t xml:space="preserve">Travel </w:t>
            </w:r>
          </w:p>
        </w:tc>
        <w:tc>
          <w:tcPr>
            <w:tcW w:w="1555" w:type="dxa"/>
            <w:tcBorders>
              <w:top w:val="nil"/>
              <w:left w:val="nil"/>
              <w:bottom w:val="single" w:sz="4" w:space="0" w:color="auto"/>
              <w:right w:val="single" w:sz="4" w:space="0" w:color="auto"/>
            </w:tcBorders>
            <w:noWrap/>
            <w:vAlign w:val="bottom"/>
            <w:hideMark/>
          </w:tcPr>
          <w:p w14:paraId="26CA9286" w14:textId="3A6811B5"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7,490 </w:t>
            </w:r>
          </w:p>
        </w:tc>
        <w:tc>
          <w:tcPr>
            <w:tcW w:w="1595" w:type="dxa"/>
            <w:tcBorders>
              <w:top w:val="nil"/>
              <w:left w:val="nil"/>
              <w:bottom w:val="single" w:sz="4" w:space="0" w:color="auto"/>
              <w:right w:val="single" w:sz="4" w:space="0" w:color="auto"/>
            </w:tcBorders>
            <w:noWrap/>
            <w:vAlign w:val="bottom"/>
            <w:hideMark/>
          </w:tcPr>
          <w:p w14:paraId="4463E842" w14:textId="457C1150" w:rsidR="004E51BD" w:rsidRPr="00104202" w:rsidRDefault="004E51BD" w:rsidP="004E51BD">
            <w:pPr>
              <w:suppressAutoHyphens w:val="0"/>
              <w:spacing w:after="0"/>
              <w:rPr>
                <w:rFonts w:ascii="Calibri" w:hAnsi="Calibri" w:cs="Calibri"/>
                <w:color w:val="000000"/>
                <w:sz w:val="20"/>
                <w:szCs w:val="20"/>
              </w:rPr>
            </w:pPr>
            <w:r w:rsidRPr="00104202" w:rsidDel="00F82848">
              <w:rPr>
                <w:rFonts w:ascii="Calibri" w:hAnsi="Calibri" w:cs="Calibri"/>
                <w:color w:val="000000"/>
                <w:sz w:val="20"/>
                <w:szCs w:val="20"/>
              </w:rPr>
              <w:t xml:space="preserve"> $               -   </w:t>
            </w:r>
          </w:p>
        </w:tc>
        <w:tc>
          <w:tcPr>
            <w:tcW w:w="1530" w:type="dxa"/>
            <w:tcBorders>
              <w:top w:val="nil"/>
              <w:left w:val="nil"/>
              <w:bottom w:val="single" w:sz="4" w:space="0" w:color="auto"/>
              <w:right w:val="single" w:sz="4" w:space="0" w:color="auto"/>
            </w:tcBorders>
            <w:noWrap/>
            <w:vAlign w:val="bottom"/>
            <w:hideMark/>
          </w:tcPr>
          <w:p w14:paraId="47D2140D" w14:textId="1C5D1F5F" w:rsidR="004E51BD" w:rsidRPr="00104202" w:rsidRDefault="004E51BD" w:rsidP="004E51BD">
            <w:pPr>
              <w:suppressAutoHyphens w:val="0"/>
              <w:spacing w:after="0"/>
              <w:rPr>
                <w:rFonts w:ascii="Calibri" w:hAnsi="Calibri" w:cs="Calibri"/>
                <w:color w:val="000000"/>
                <w:sz w:val="20"/>
                <w:szCs w:val="20"/>
              </w:rPr>
            </w:pPr>
            <w:r w:rsidRPr="00104202" w:rsidDel="00F82848">
              <w:rPr>
                <w:rFonts w:ascii="Calibri" w:hAnsi="Calibri" w:cs="Calibri"/>
                <w:color w:val="000000"/>
                <w:sz w:val="20"/>
                <w:szCs w:val="20"/>
              </w:rPr>
              <w:t xml:space="preserve"> $               -   </w:t>
            </w:r>
          </w:p>
        </w:tc>
        <w:tc>
          <w:tcPr>
            <w:tcW w:w="1630" w:type="dxa"/>
            <w:tcBorders>
              <w:top w:val="nil"/>
              <w:left w:val="nil"/>
              <w:bottom w:val="single" w:sz="4" w:space="0" w:color="auto"/>
              <w:right w:val="single" w:sz="4" w:space="0" w:color="auto"/>
            </w:tcBorders>
            <w:noWrap/>
            <w:vAlign w:val="bottom"/>
            <w:hideMark/>
          </w:tcPr>
          <w:p w14:paraId="61581C06" w14:textId="309FA075" w:rsidR="004E51BD" w:rsidRPr="00104202" w:rsidRDefault="004E51BD" w:rsidP="004E51BD">
            <w:pPr>
              <w:suppressAutoHyphens w:val="0"/>
              <w:spacing w:after="0"/>
              <w:rPr>
                <w:rFonts w:ascii="Calibri" w:hAnsi="Calibri" w:cs="Calibri"/>
                <w:color w:val="000000"/>
                <w:sz w:val="20"/>
                <w:szCs w:val="20"/>
              </w:rPr>
            </w:pPr>
            <w:r w:rsidRPr="00104202" w:rsidDel="00F82848">
              <w:rPr>
                <w:rFonts w:ascii="Calibri" w:hAnsi="Calibri" w:cs="Calibri"/>
                <w:color w:val="000000"/>
                <w:sz w:val="20"/>
                <w:szCs w:val="20"/>
              </w:rPr>
              <w:t xml:space="preserve"> $               -   </w:t>
            </w:r>
          </w:p>
        </w:tc>
        <w:tc>
          <w:tcPr>
            <w:tcW w:w="1940" w:type="dxa"/>
            <w:tcBorders>
              <w:top w:val="nil"/>
              <w:left w:val="nil"/>
              <w:bottom w:val="single" w:sz="4" w:space="0" w:color="auto"/>
              <w:right w:val="single" w:sz="4" w:space="0" w:color="auto"/>
            </w:tcBorders>
            <w:noWrap/>
            <w:vAlign w:val="bottom"/>
            <w:hideMark/>
          </w:tcPr>
          <w:p w14:paraId="0C380233" w14:textId="76DB67BE"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7,490 </w:t>
            </w:r>
          </w:p>
        </w:tc>
      </w:tr>
      <w:tr w:rsidR="008F1FBA" w:rsidRPr="00BD6E47" w14:paraId="14AAF7D7" w14:textId="77777777" w:rsidTr="00B83A0A">
        <w:trPr>
          <w:cantSplit/>
          <w:trHeight w:val="101"/>
          <w:jc w:val="center"/>
        </w:trPr>
        <w:tc>
          <w:tcPr>
            <w:tcW w:w="740" w:type="dxa"/>
            <w:vMerge/>
            <w:tcBorders>
              <w:top w:val="nil"/>
              <w:left w:val="single" w:sz="4" w:space="0" w:color="auto"/>
              <w:bottom w:val="double" w:sz="6" w:space="0" w:color="000000"/>
              <w:right w:val="single" w:sz="4" w:space="0" w:color="auto"/>
            </w:tcBorders>
            <w:vAlign w:val="center"/>
            <w:hideMark/>
          </w:tcPr>
          <w:p w14:paraId="6921FD6F" w14:textId="77777777" w:rsidR="004E51BD" w:rsidRPr="00104202" w:rsidRDefault="004E51BD" w:rsidP="004E51BD">
            <w:pPr>
              <w:suppressAutoHyphens w:val="0"/>
              <w:spacing w:after="0"/>
              <w:rPr>
                <w:rFonts w:ascii="Calibri" w:hAnsi="Calibri" w:cs="Calibri"/>
                <w:b/>
                <w:bCs/>
                <w:color w:val="000000"/>
                <w:sz w:val="20"/>
                <w:szCs w:val="20"/>
              </w:rPr>
            </w:pPr>
          </w:p>
        </w:tc>
        <w:tc>
          <w:tcPr>
            <w:tcW w:w="2050" w:type="dxa"/>
            <w:tcBorders>
              <w:top w:val="nil"/>
              <w:left w:val="nil"/>
              <w:bottom w:val="single" w:sz="4" w:space="0" w:color="auto"/>
              <w:right w:val="single" w:sz="4" w:space="0" w:color="auto"/>
            </w:tcBorders>
            <w:noWrap/>
            <w:vAlign w:val="bottom"/>
            <w:hideMark/>
          </w:tcPr>
          <w:p w14:paraId="58047BB7" w14:textId="77777777" w:rsidR="004E51BD" w:rsidRPr="00104202" w:rsidRDefault="004E51BD" w:rsidP="004E51BD">
            <w:pPr>
              <w:suppressAutoHyphens w:val="0"/>
              <w:spacing w:after="0"/>
              <w:jc w:val="right"/>
              <w:rPr>
                <w:rFonts w:ascii="Calibri" w:hAnsi="Calibri" w:cs="Calibri"/>
                <w:color w:val="000000"/>
                <w:sz w:val="20"/>
                <w:szCs w:val="20"/>
              </w:rPr>
            </w:pPr>
            <w:r w:rsidRPr="00104202">
              <w:rPr>
                <w:rFonts w:ascii="Calibri" w:hAnsi="Calibri" w:cs="Calibri"/>
                <w:color w:val="000000"/>
                <w:sz w:val="20"/>
                <w:szCs w:val="20"/>
              </w:rPr>
              <w:t xml:space="preserve">Equipment </w:t>
            </w:r>
          </w:p>
        </w:tc>
        <w:tc>
          <w:tcPr>
            <w:tcW w:w="1555" w:type="dxa"/>
            <w:tcBorders>
              <w:top w:val="nil"/>
              <w:left w:val="nil"/>
              <w:bottom w:val="single" w:sz="4" w:space="0" w:color="auto"/>
              <w:right w:val="single" w:sz="4" w:space="0" w:color="auto"/>
            </w:tcBorders>
            <w:noWrap/>
            <w:vAlign w:val="bottom"/>
            <w:hideMark/>
          </w:tcPr>
          <w:p w14:paraId="3F0B0701" w14:textId="5A27C98D"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   </w:t>
            </w:r>
          </w:p>
        </w:tc>
        <w:tc>
          <w:tcPr>
            <w:tcW w:w="1595" w:type="dxa"/>
            <w:tcBorders>
              <w:top w:val="nil"/>
              <w:left w:val="nil"/>
              <w:bottom w:val="single" w:sz="4" w:space="0" w:color="auto"/>
              <w:right w:val="single" w:sz="4" w:space="0" w:color="auto"/>
            </w:tcBorders>
            <w:noWrap/>
            <w:vAlign w:val="bottom"/>
            <w:hideMark/>
          </w:tcPr>
          <w:p w14:paraId="25187DF1" w14:textId="436C04DB"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   </w:t>
            </w:r>
          </w:p>
        </w:tc>
        <w:tc>
          <w:tcPr>
            <w:tcW w:w="1530" w:type="dxa"/>
            <w:tcBorders>
              <w:top w:val="nil"/>
              <w:left w:val="nil"/>
              <w:bottom w:val="single" w:sz="4" w:space="0" w:color="auto"/>
              <w:right w:val="single" w:sz="4" w:space="0" w:color="auto"/>
            </w:tcBorders>
            <w:noWrap/>
            <w:vAlign w:val="bottom"/>
            <w:hideMark/>
          </w:tcPr>
          <w:p w14:paraId="37A45274" w14:textId="164D7C0F"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   </w:t>
            </w:r>
          </w:p>
        </w:tc>
        <w:tc>
          <w:tcPr>
            <w:tcW w:w="1630" w:type="dxa"/>
            <w:tcBorders>
              <w:top w:val="nil"/>
              <w:left w:val="nil"/>
              <w:bottom w:val="single" w:sz="4" w:space="0" w:color="auto"/>
              <w:right w:val="single" w:sz="4" w:space="0" w:color="auto"/>
            </w:tcBorders>
            <w:noWrap/>
            <w:vAlign w:val="bottom"/>
            <w:hideMark/>
          </w:tcPr>
          <w:p w14:paraId="35FC060E" w14:textId="359CF8A2"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   </w:t>
            </w:r>
          </w:p>
        </w:tc>
        <w:tc>
          <w:tcPr>
            <w:tcW w:w="1940" w:type="dxa"/>
            <w:tcBorders>
              <w:top w:val="nil"/>
              <w:left w:val="nil"/>
              <w:bottom w:val="single" w:sz="4" w:space="0" w:color="auto"/>
              <w:right w:val="single" w:sz="4" w:space="0" w:color="auto"/>
            </w:tcBorders>
            <w:noWrap/>
            <w:vAlign w:val="bottom"/>
            <w:hideMark/>
          </w:tcPr>
          <w:p w14:paraId="20811FBA" w14:textId="61FB26A2"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   </w:t>
            </w:r>
          </w:p>
        </w:tc>
      </w:tr>
      <w:tr w:rsidR="008F1FBA" w:rsidRPr="00BD6E47" w14:paraId="41F9A0E5" w14:textId="77777777" w:rsidTr="00B83A0A">
        <w:trPr>
          <w:cantSplit/>
          <w:trHeight w:val="101"/>
          <w:jc w:val="center"/>
        </w:trPr>
        <w:tc>
          <w:tcPr>
            <w:tcW w:w="740" w:type="dxa"/>
            <w:vMerge/>
            <w:tcBorders>
              <w:top w:val="nil"/>
              <w:left w:val="single" w:sz="4" w:space="0" w:color="auto"/>
              <w:bottom w:val="double" w:sz="6" w:space="0" w:color="000000"/>
              <w:right w:val="single" w:sz="4" w:space="0" w:color="auto"/>
            </w:tcBorders>
            <w:vAlign w:val="center"/>
            <w:hideMark/>
          </w:tcPr>
          <w:p w14:paraId="7DF2C1B4" w14:textId="77777777" w:rsidR="004E51BD" w:rsidRPr="00104202" w:rsidRDefault="004E51BD" w:rsidP="004E51BD">
            <w:pPr>
              <w:suppressAutoHyphens w:val="0"/>
              <w:spacing w:after="0"/>
              <w:rPr>
                <w:rFonts w:ascii="Calibri" w:hAnsi="Calibri" w:cs="Calibri"/>
                <w:b/>
                <w:bCs/>
                <w:color w:val="000000"/>
                <w:sz w:val="20"/>
                <w:szCs w:val="20"/>
              </w:rPr>
            </w:pPr>
          </w:p>
        </w:tc>
        <w:tc>
          <w:tcPr>
            <w:tcW w:w="2050" w:type="dxa"/>
            <w:tcBorders>
              <w:top w:val="nil"/>
              <w:left w:val="nil"/>
              <w:bottom w:val="single" w:sz="4" w:space="0" w:color="auto"/>
              <w:right w:val="single" w:sz="4" w:space="0" w:color="auto"/>
            </w:tcBorders>
            <w:noWrap/>
            <w:vAlign w:val="bottom"/>
            <w:hideMark/>
          </w:tcPr>
          <w:p w14:paraId="64FE04FC" w14:textId="77777777" w:rsidR="004E51BD" w:rsidRPr="00104202" w:rsidRDefault="004E51BD" w:rsidP="004E51BD">
            <w:pPr>
              <w:suppressAutoHyphens w:val="0"/>
              <w:spacing w:after="0"/>
              <w:jc w:val="right"/>
              <w:rPr>
                <w:rFonts w:ascii="Calibri" w:hAnsi="Calibri" w:cs="Calibri"/>
                <w:color w:val="000000"/>
                <w:sz w:val="20"/>
                <w:szCs w:val="20"/>
              </w:rPr>
            </w:pPr>
            <w:r w:rsidRPr="00104202">
              <w:rPr>
                <w:rFonts w:ascii="Calibri" w:hAnsi="Calibri" w:cs="Calibri"/>
                <w:color w:val="000000"/>
                <w:sz w:val="20"/>
                <w:szCs w:val="20"/>
              </w:rPr>
              <w:t>Supplies</w:t>
            </w:r>
          </w:p>
        </w:tc>
        <w:tc>
          <w:tcPr>
            <w:tcW w:w="1555" w:type="dxa"/>
            <w:tcBorders>
              <w:top w:val="nil"/>
              <w:left w:val="nil"/>
              <w:bottom w:val="single" w:sz="4" w:space="0" w:color="auto"/>
              <w:right w:val="single" w:sz="4" w:space="0" w:color="auto"/>
            </w:tcBorders>
            <w:noWrap/>
            <w:vAlign w:val="bottom"/>
            <w:hideMark/>
          </w:tcPr>
          <w:p w14:paraId="00121549" w14:textId="1C0E682A"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   </w:t>
            </w:r>
          </w:p>
        </w:tc>
        <w:tc>
          <w:tcPr>
            <w:tcW w:w="1595" w:type="dxa"/>
            <w:tcBorders>
              <w:top w:val="nil"/>
              <w:left w:val="nil"/>
              <w:bottom w:val="single" w:sz="4" w:space="0" w:color="auto"/>
              <w:right w:val="single" w:sz="4" w:space="0" w:color="auto"/>
            </w:tcBorders>
            <w:noWrap/>
            <w:vAlign w:val="bottom"/>
            <w:hideMark/>
          </w:tcPr>
          <w:p w14:paraId="50C74DE9" w14:textId="0F5B51FA" w:rsidR="004E51BD" w:rsidRPr="00104202" w:rsidRDefault="004E51BD" w:rsidP="004E51BD">
            <w:pPr>
              <w:suppressAutoHyphens w:val="0"/>
              <w:spacing w:after="0"/>
              <w:rPr>
                <w:rFonts w:ascii="Calibri" w:hAnsi="Calibri" w:cs="Calibri"/>
                <w:color w:val="000000"/>
                <w:sz w:val="20"/>
                <w:szCs w:val="20"/>
              </w:rPr>
            </w:pPr>
            <w:r w:rsidRPr="00104202" w:rsidDel="00F82848">
              <w:rPr>
                <w:rFonts w:ascii="Calibri" w:hAnsi="Calibri" w:cs="Calibri"/>
                <w:color w:val="000000"/>
                <w:sz w:val="20"/>
                <w:szCs w:val="20"/>
              </w:rPr>
              <w:t xml:space="preserve"> $            800 </w:t>
            </w:r>
          </w:p>
        </w:tc>
        <w:tc>
          <w:tcPr>
            <w:tcW w:w="1530" w:type="dxa"/>
            <w:tcBorders>
              <w:top w:val="nil"/>
              <w:left w:val="nil"/>
              <w:bottom w:val="single" w:sz="4" w:space="0" w:color="auto"/>
              <w:right w:val="single" w:sz="4" w:space="0" w:color="auto"/>
            </w:tcBorders>
            <w:noWrap/>
            <w:vAlign w:val="bottom"/>
            <w:hideMark/>
          </w:tcPr>
          <w:p w14:paraId="0904CCED" w14:textId="366160DD"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   </w:t>
            </w:r>
          </w:p>
        </w:tc>
        <w:tc>
          <w:tcPr>
            <w:tcW w:w="1630" w:type="dxa"/>
            <w:tcBorders>
              <w:top w:val="nil"/>
              <w:left w:val="nil"/>
              <w:bottom w:val="single" w:sz="4" w:space="0" w:color="auto"/>
              <w:right w:val="single" w:sz="4" w:space="0" w:color="auto"/>
            </w:tcBorders>
            <w:noWrap/>
            <w:vAlign w:val="bottom"/>
            <w:hideMark/>
          </w:tcPr>
          <w:p w14:paraId="183642B8" w14:textId="50CDD19B"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   </w:t>
            </w:r>
          </w:p>
        </w:tc>
        <w:tc>
          <w:tcPr>
            <w:tcW w:w="1940" w:type="dxa"/>
            <w:tcBorders>
              <w:top w:val="nil"/>
              <w:left w:val="nil"/>
              <w:bottom w:val="single" w:sz="4" w:space="0" w:color="auto"/>
              <w:right w:val="single" w:sz="4" w:space="0" w:color="auto"/>
            </w:tcBorders>
            <w:noWrap/>
            <w:vAlign w:val="bottom"/>
            <w:hideMark/>
          </w:tcPr>
          <w:p w14:paraId="74AA3D2B" w14:textId="02EF008D"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800 </w:t>
            </w:r>
          </w:p>
        </w:tc>
      </w:tr>
      <w:tr w:rsidR="008F1FBA" w:rsidRPr="00BD6E47" w14:paraId="230A97FD" w14:textId="77777777" w:rsidTr="00B83A0A">
        <w:trPr>
          <w:cantSplit/>
          <w:trHeight w:val="101"/>
          <w:jc w:val="center"/>
        </w:trPr>
        <w:tc>
          <w:tcPr>
            <w:tcW w:w="740" w:type="dxa"/>
            <w:vMerge/>
            <w:tcBorders>
              <w:top w:val="nil"/>
              <w:left w:val="single" w:sz="4" w:space="0" w:color="auto"/>
              <w:bottom w:val="double" w:sz="6" w:space="0" w:color="000000"/>
              <w:right w:val="single" w:sz="4" w:space="0" w:color="auto"/>
            </w:tcBorders>
            <w:vAlign w:val="center"/>
            <w:hideMark/>
          </w:tcPr>
          <w:p w14:paraId="209E37DA" w14:textId="77777777" w:rsidR="004E51BD" w:rsidRPr="00104202" w:rsidRDefault="004E51BD" w:rsidP="004E51BD">
            <w:pPr>
              <w:suppressAutoHyphens w:val="0"/>
              <w:spacing w:after="0"/>
              <w:rPr>
                <w:rFonts w:ascii="Calibri" w:hAnsi="Calibri" w:cs="Calibri"/>
                <w:b/>
                <w:bCs/>
                <w:color w:val="000000"/>
                <w:sz w:val="20"/>
                <w:szCs w:val="20"/>
              </w:rPr>
            </w:pPr>
          </w:p>
        </w:tc>
        <w:tc>
          <w:tcPr>
            <w:tcW w:w="2050" w:type="dxa"/>
            <w:tcBorders>
              <w:top w:val="nil"/>
              <w:left w:val="nil"/>
              <w:bottom w:val="single" w:sz="4" w:space="0" w:color="auto"/>
              <w:right w:val="single" w:sz="4" w:space="0" w:color="auto"/>
            </w:tcBorders>
            <w:noWrap/>
            <w:vAlign w:val="bottom"/>
            <w:hideMark/>
          </w:tcPr>
          <w:p w14:paraId="70D164AF" w14:textId="77777777" w:rsidR="004E51BD" w:rsidRPr="00104202" w:rsidRDefault="004E51BD" w:rsidP="004E51BD">
            <w:pPr>
              <w:suppressAutoHyphens w:val="0"/>
              <w:spacing w:after="0"/>
              <w:jc w:val="right"/>
              <w:rPr>
                <w:rFonts w:ascii="Calibri" w:hAnsi="Calibri" w:cs="Calibri"/>
                <w:color w:val="000000"/>
                <w:sz w:val="20"/>
                <w:szCs w:val="20"/>
              </w:rPr>
            </w:pPr>
            <w:r w:rsidRPr="00104202">
              <w:rPr>
                <w:rFonts w:ascii="Calibri" w:hAnsi="Calibri" w:cs="Calibri"/>
                <w:color w:val="000000"/>
                <w:sz w:val="20"/>
                <w:szCs w:val="20"/>
              </w:rPr>
              <w:t xml:space="preserve">Contractual </w:t>
            </w:r>
          </w:p>
        </w:tc>
        <w:tc>
          <w:tcPr>
            <w:tcW w:w="1555" w:type="dxa"/>
            <w:tcBorders>
              <w:top w:val="nil"/>
              <w:left w:val="nil"/>
              <w:bottom w:val="single" w:sz="4" w:space="0" w:color="auto"/>
              <w:right w:val="single" w:sz="4" w:space="0" w:color="auto"/>
            </w:tcBorders>
            <w:noWrap/>
            <w:vAlign w:val="bottom"/>
            <w:hideMark/>
          </w:tcPr>
          <w:p w14:paraId="2C107A26" w14:textId="25F4E183"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30,240 </w:t>
            </w:r>
          </w:p>
        </w:tc>
        <w:tc>
          <w:tcPr>
            <w:tcW w:w="1595" w:type="dxa"/>
            <w:tcBorders>
              <w:top w:val="nil"/>
              <w:left w:val="nil"/>
              <w:bottom w:val="single" w:sz="4" w:space="0" w:color="auto"/>
              <w:right w:val="single" w:sz="4" w:space="0" w:color="auto"/>
            </w:tcBorders>
            <w:noWrap/>
            <w:vAlign w:val="bottom"/>
            <w:hideMark/>
          </w:tcPr>
          <w:p w14:paraId="0F2ABEED" w14:textId="3E7C3296"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24,260 </w:t>
            </w:r>
          </w:p>
        </w:tc>
        <w:tc>
          <w:tcPr>
            <w:tcW w:w="1530" w:type="dxa"/>
            <w:tcBorders>
              <w:top w:val="nil"/>
              <w:left w:val="nil"/>
              <w:bottom w:val="single" w:sz="4" w:space="0" w:color="auto"/>
              <w:right w:val="single" w:sz="4" w:space="0" w:color="auto"/>
            </w:tcBorders>
            <w:noWrap/>
            <w:vAlign w:val="bottom"/>
            <w:hideMark/>
          </w:tcPr>
          <w:p w14:paraId="75EB49A2" w14:textId="3DAD86B9"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29,400 </w:t>
            </w:r>
          </w:p>
        </w:tc>
        <w:tc>
          <w:tcPr>
            <w:tcW w:w="1630" w:type="dxa"/>
            <w:tcBorders>
              <w:top w:val="nil"/>
              <w:left w:val="nil"/>
              <w:bottom w:val="single" w:sz="4" w:space="0" w:color="auto"/>
              <w:right w:val="single" w:sz="4" w:space="0" w:color="auto"/>
            </w:tcBorders>
            <w:noWrap/>
            <w:vAlign w:val="bottom"/>
            <w:hideMark/>
          </w:tcPr>
          <w:p w14:paraId="5E74CD40" w14:textId="45164611"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106,500 </w:t>
            </w:r>
          </w:p>
        </w:tc>
        <w:tc>
          <w:tcPr>
            <w:tcW w:w="1940" w:type="dxa"/>
            <w:tcBorders>
              <w:top w:val="nil"/>
              <w:left w:val="nil"/>
              <w:bottom w:val="single" w:sz="4" w:space="0" w:color="auto"/>
              <w:right w:val="single" w:sz="4" w:space="0" w:color="auto"/>
            </w:tcBorders>
            <w:noWrap/>
            <w:vAlign w:val="bottom"/>
            <w:hideMark/>
          </w:tcPr>
          <w:p w14:paraId="41F304C4" w14:textId="028AD25F"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190,400 </w:t>
            </w:r>
          </w:p>
        </w:tc>
      </w:tr>
      <w:tr w:rsidR="008F1FBA" w:rsidRPr="00BD6E47" w14:paraId="2E21D167" w14:textId="77777777" w:rsidTr="00B83A0A">
        <w:trPr>
          <w:cantSplit/>
          <w:trHeight w:val="101"/>
          <w:jc w:val="center"/>
        </w:trPr>
        <w:tc>
          <w:tcPr>
            <w:tcW w:w="740" w:type="dxa"/>
            <w:vMerge/>
            <w:tcBorders>
              <w:top w:val="nil"/>
              <w:left w:val="single" w:sz="4" w:space="0" w:color="auto"/>
              <w:bottom w:val="double" w:sz="6" w:space="0" w:color="000000"/>
              <w:right w:val="single" w:sz="4" w:space="0" w:color="auto"/>
            </w:tcBorders>
            <w:vAlign w:val="center"/>
            <w:hideMark/>
          </w:tcPr>
          <w:p w14:paraId="68759502" w14:textId="77777777" w:rsidR="004E51BD" w:rsidRPr="00104202" w:rsidRDefault="004E51BD" w:rsidP="004E51BD">
            <w:pPr>
              <w:suppressAutoHyphens w:val="0"/>
              <w:spacing w:after="0"/>
              <w:rPr>
                <w:rFonts w:ascii="Calibri" w:hAnsi="Calibri" w:cs="Calibri"/>
                <w:b/>
                <w:bCs/>
                <w:color w:val="000000"/>
                <w:sz w:val="20"/>
                <w:szCs w:val="20"/>
              </w:rPr>
            </w:pPr>
          </w:p>
        </w:tc>
        <w:tc>
          <w:tcPr>
            <w:tcW w:w="2050" w:type="dxa"/>
            <w:tcBorders>
              <w:top w:val="nil"/>
              <w:left w:val="nil"/>
              <w:bottom w:val="single" w:sz="4" w:space="0" w:color="auto"/>
              <w:right w:val="single" w:sz="4" w:space="0" w:color="auto"/>
            </w:tcBorders>
            <w:noWrap/>
            <w:vAlign w:val="bottom"/>
            <w:hideMark/>
          </w:tcPr>
          <w:p w14:paraId="01E24E3D" w14:textId="77777777" w:rsidR="004E51BD" w:rsidRPr="00104202" w:rsidRDefault="004E51BD" w:rsidP="004E51BD">
            <w:pPr>
              <w:suppressAutoHyphens w:val="0"/>
              <w:spacing w:after="0"/>
              <w:jc w:val="right"/>
              <w:rPr>
                <w:rFonts w:ascii="Calibri" w:hAnsi="Calibri" w:cs="Calibri"/>
                <w:color w:val="000000"/>
                <w:sz w:val="20"/>
                <w:szCs w:val="20"/>
              </w:rPr>
            </w:pPr>
            <w:r w:rsidRPr="00104202">
              <w:rPr>
                <w:rFonts w:ascii="Calibri" w:hAnsi="Calibri" w:cs="Calibri"/>
                <w:color w:val="000000"/>
                <w:sz w:val="20"/>
                <w:szCs w:val="20"/>
              </w:rPr>
              <w:t xml:space="preserve">Construction </w:t>
            </w:r>
          </w:p>
        </w:tc>
        <w:tc>
          <w:tcPr>
            <w:tcW w:w="1555" w:type="dxa"/>
            <w:tcBorders>
              <w:top w:val="nil"/>
              <w:left w:val="nil"/>
              <w:bottom w:val="single" w:sz="4" w:space="0" w:color="auto"/>
              <w:right w:val="single" w:sz="4" w:space="0" w:color="auto"/>
            </w:tcBorders>
            <w:noWrap/>
            <w:vAlign w:val="bottom"/>
            <w:hideMark/>
          </w:tcPr>
          <w:p w14:paraId="61E02BD6" w14:textId="22B531F9" w:rsidR="004E51BD" w:rsidRPr="00104202" w:rsidRDefault="004E51BD" w:rsidP="004E51BD">
            <w:pPr>
              <w:suppressAutoHyphens w:val="0"/>
              <w:spacing w:after="0"/>
              <w:rPr>
                <w:rFonts w:ascii="Calibri" w:hAnsi="Calibri" w:cs="Calibri"/>
                <w:color w:val="000000"/>
                <w:sz w:val="20"/>
                <w:szCs w:val="20"/>
              </w:rPr>
            </w:pPr>
            <w:r w:rsidRPr="00104202" w:rsidDel="00F82848">
              <w:rPr>
                <w:rFonts w:ascii="Calibri" w:hAnsi="Calibri" w:cs="Calibri"/>
                <w:color w:val="000000"/>
                <w:sz w:val="20"/>
                <w:szCs w:val="20"/>
              </w:rPr>
              <w:t xml:space="preserve"> $               -   </w:t>
            </w:r>
          </w:p>
        </w:tc>
        <w:tc>
          <w:tcPr>
            <w:tcW w:w="1595" w:type="dxa"/>
            <w:tcBorders>
              <w:top w:val="nil"/>
              <w:left w:val="nil"/>
              <w:bottom w:val="single" w:sz="4" w:space="0" w:color="auto"/>
              <w:right w:val="single" w:sz="4" w:space="0" w:color="auto"/>
            </w:tcBorders>
            <w:noWrap/>
            <w:vAlign w:val="bottom"/>
            <w:hideMark/>
          </w:tcPr>
          <w:p w14:paraId="6FFE9AFE" w14:textId="1C4ADE6D" w:rsidR="004E51BD" w:rsidRPr="00104202" w:rsidRDefault="004E51BD" w:rsidP="004E51BD">
            <w:pPr>
              <w:suppressAutoHyphens w:val="0"/>
              <w:spacing w:after="0"/>
              <w:rPr>
                <w:rFonts w:ascii="Calibri" w:hAnsi="Calibri" w:cs="Calibri"/>
                <w:color w:val="000000"/>
                <w:sz w:val="20"/>
                <w:szCs w:val="20"/>
              </w:rPr>
            </w:pPr>
            <w:r w:rsidRPr="00104202" w:rsidDel="00F82848">
              <w:rPr>
                <w:rFonts w:ascii="Calibri" w:hAnsi="Calibri" w:cs="Calibri"/>
                <w:color w:val="000000"/>
                <w:sz w:val="20"/>
                <w:szCs w:val="20"/>
              </w:rPr>
              <w:t xml:space="preserve"> $               -   </w:t>
            </w:r>
          </w:p>
        </w:tc>
        <w:tc>
          <w:tcPr>
            <w:tcW w:w="1530" w:type="dxa"/>
            <w:tcBorders>
              <w:top w:val="nil"/>
              <w:left w:val="nil"/>
              <w:bottom w:val="single" w:sz="4" w:space="0" w:color="auto"/>
              <w:right w:val="single" w:sz="4" w:space="0" w:color="auto"/>
            </w:tcBorders>
            <w:noWrap/>
            <w:vAlign w:val="bottom"/>
            <w:hideMark/>
          </w:tcPr>
          <w:p w14:paraId="158CE27C" w14:textId="7F43B238" w:rsidR="004E51BD" w:rsidRPr="00104202" w:rsidRDefault="004E51BD" w:rsidP="004E51BD">
            <w:pPr>
              <w:suppressAutoHyphens w:val="0"/>
              <w:spacing w:after="0"/>
              <w:rPr>
                <w:rFonts w:ascii="Calibri" w:hAnsi="Calibri" w:cs="Calibri"/>
                <w:color w:val="000000"/>
                <w:sz w:val="20"/>
                <w:szCs w:val="20"/>
              </w:rPr>
            </w:pPr>
            <w:r w:rsidRPr="00104202" w:rsidDel="00F82848">
              <w:rPr>
                <w:rFonts w:ascii="Calibri" w:hAnsi="Calibri" w:cs="Calibri"/>
                <w:color w:val="000000"/>
                <w:sz w:val="20"/>
                <w:szCs w:val="20"/>
              </w:rPr>
              <w:t xml:space="preserve"> $       18,000 </w:t>
            </w:r>
          </w:p>
        </w:tc>
        <w:tc>
          <w:tcPr>
            <w:tcW w:w="1630" w:type="dxa"/>
            <w:tcBorders>
              <w:top w:val="nil"/>
              <w:left w:val="nil"/>
              <w:bottom w:val="single" w:sz="4" w:space="0" w:color="auto"/>
              <w:right w:val="single" w:sz="4" w:space="0" w:color="auto"/>
            </w:tcBorders>
            <w:noWrap/>
            <w:vAlign w:val="bottom"/>
            <w:hideMark/>
          </w:tcPr>
          <w:p w14:paraId="58D96B37" w14:textId="6318F824"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w:t>
            </w:r>
            <w:proofErr w:type="gramStart"/>
            <w:r w:rsidRPr="001F3C8E">
              <w:rPr>
                <w:rFonts w:ascii="Calibri" w:hAnsi="Calibri" w:cs="Calibri"/>
                <w:color w:val="000000"/>
                <w:sz w:val="20"/>
                <w:szCs w:val="20"/>
              </w:rPr>
              <w:t>$  3,708,000</w:t>
            </w:r>
            <w:proofErr w:type="gramEnd"/>
            <w:r w:rsidRPr="001F3C8E">
              <w:rPr>
                <w:rFonts w:ascii="Calibri" w:hAnsi="Calibri" w:cs="Calibri"/>
                <w:color w:val="000000"/>
                <w:sz w:val="20"/>
                <w:szCs w:val="20"/>
              </w:rPr>
              <w:t xml:space="preserve"> </w:t>
            </w:r>
          </w:p>
        </w:tc>
        <w:tc>
          <w:tcPr>
            <w:tcW w:w="1940" w:type="dxa"/>
            <w:tcBorders>
              <w:top w:val="nil"/>
              <w:left w:val="nil"/>
              <w:bottom w:val="single" w:sz="4" w:space="0" w:color="auto"/>
              <w:right w:val="single" w:sz="4" w:space="0" w:color="auto"/>
            </w:tcBorders>
            <w:noWrap/>
            <w:vAlign w:val="bottom"/>
            <w:hideMark/>
          </w:tcPr>
          <w:p w14:paraId="27F2F15A" w14:textId="4FF46933"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3,726,000 </w:t>
            </w:r>
          </w:p>
        </w:tc>
      </w:tr>
      <w:tr w:rsidR="00E76C5E" w:rsidRPr="00BD6E47" w14:paraId="33291A62" w14:textId="77777777" w:rsidTr="00B83A0A">
        <w:trPr>
          <w:cantSplit/>
          <w:trHeight w:val="101"/>
          <w:jc w:val="center"/>
        </w:trPr>
        <w:tc>
          <w:tcPr>
            <w:tcW w:w="740" w:type="dxa"/>
            <w:vMerge/>
            <w:tcBorders>
              <w:top w:val="nil"/>
              <w:left w:val="single" w:sz="4" w:space="0" w:color="auto"/>
              <w:bottom w:val="double" w:sz="6" w:space="0" w:color="000000"/>
              <w:right w:val="single" w:sz="4" w:space="0" w:color="auto"/>
            </w:tcBorders>
            <w:vAlign w:val="center"/>
            <w:hideMark/>
          </w:tcPr>
          <w:p w14:paraId="626B2FBD" w14:textId="77777777" w:rsidR="004E51BD" w:rsidRPr="00104202" w:rsidRDefault="004E51BD" w:rsidP="004E51BD">
            <w:pPr>
              <w:suppressAutoHyphens w:val="0"/>
              <w:spacing w:after="0"/>
              <w:rPr>
                <w:rFonts w:ascii="Calibri" w:hAnsi="Calibri" w:cs="Calibri"/>
                <w:b/>
                <w:bCs/>
                <w:color w:val="000000"/>
                <w:sz w:val="20"/>
                <w:szCs w:val="20"/>
              </w:rPr>
            </w:pPr>
          </w:p>
        </w:tc>
        <w:tc>
          <w:tcPr>
            <w:tcW w:w="2050" w:type="dxa"/>
            <w:tcBorders>
              <w:top w:val="nil"/>
              <w:left w:val="nil"/>
              <w:bottom w:val="double" w:sz="6" w:space="0" w:color="auto"/>
              <w:right w:val="single" w:sz="4" w:space="0" w:color="auto"/>
            </w:tcBorders>
            <w:noWrap/>
            <w:vAlign w:val="bottom"/>
            <w:hideMark/>
          </w:tcPr>
          <w:p w14:paraId="45133EE6" w14:textId="77777777" w:rsidR="004E51BD" w:rsidRPr="00104202" w:rsidRDefault="004E51BD" w:rsidP="004E51BD">
            <w:pPr>
              <w:suppressAutoHyphens w:val="0"/>
              <w:spacing w:after="0"/>
              <w:jc w:val="right"/>
              <w:rPr>
                <w:rFonts w:ascii="Calibri" w:hAnsi="Calibri" w:cs="Calibri"/>
                <w:color w:val="000000"/>
                <w:sz w:val="20"/>
                <w:szCs w:val="20"/>
              </w:rPr>
            </w:pPr>
            <w:r w:rsidRPr="00104202">
              <w:rPr>
                <w:rFonts w:ascii="Calibri" w:hAnsi="Calibri" w:cs="Calibri"/>
                <w:color w:val="000000"/>
                <w:sz w:val="20"/>
                <w:szCs w:val="20"/>
              </w:rPr>
              <w:t xml:space="preserve">Other </w:t>
            </w:r>
          </w:p>
        </w:tc>
        <w:tc>
          <w:tcPr>
            <w:tcW w:w="1555" w:type="dxa"/>
            <w:tcBorders>
              <w:top w:val="nil"/>
              <w:left w:val="nil"/>
              <w:bottom w:val="double" w:sz="6" w:space="0" w:color="auto"/>
              <w:right w:val="single" w:sz="4" w:space="0" w:color="auto"/>
            </w:tcBorders>
            <w:noWrap/>
            <w:vAlign w:val="bottom"/>
            <w:hideMark/>
          </w:tcPr>
          <w:p w14:paraId="0E60E436" w14:textId="6E74A77C"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   </w:t>
            </w:r>
          </w:p>
        </w:tc>
        <w:tc>
          <w:tcPr>
            <w:tcW w:w="1595" w:type="dxa"/>
            <w:tcBorders>
              <w:top w:val="nil"/>
              <w:left w:val="nil"/>
              <w:bottom w:val="double" w:sz="6" w:space="0" w:color="auto"/>
              <w:right w:val="single" w:sz="4" w:space="0" w:color="auto"/>
            </w:tcBorders>
            <w:noWrap/>
            <w:vAlign w:val="bottom"/>
            <w:hideMark/>
          </w:tcPr>
          <w:p w14:paraId="361F9940" w14:textId="0C4A37B6" w:rsidR="004E51BD" w:rsidRPr="00104202" w:rsidRDefault="004E51BD" w:rsidP="004E51BD">
            <w:pPr>
              <w:suppressAutoHyphens w:val="0"/>
              <w:spacing w:after="0"/>
              <w:rPr>
                <w:rFonts w:ascii="Calibri" w:hAnsi="Calibri" w:cs="Calibri"/>
                <w:color w:val="000000"/>
                <w:sz w:val="20"/>
                <w:szCs w:val="20"/>
              </w:rPr>
            </w:pPr>
            <w:r w:rsidRPr="00104202" w:rsidDel="00F82848">
              <w:rPr>
                <w:rFonts w:ascii="Calibri" w:hAnsi="Calibri" w:cs="Calibri"/>
                <w:color w:val="000000"/>
                <w:sz w:val="20"/>
                <w:szCs w:val="20"/>
              </w:rPr>
              <w:t xml:space="preserve"> $               -   </w:t>
            </w:r>
          </w:p>
        </w:tc>
        <w:tc>
          <w:tcPr>
            <w:tcW w:w="1530" w:type="dxa"/>
            <w:tcBorders>
              <w:top w:val="nil"/>
              <w:left w:val="nil"/>
              <w:bottom w:val="double" w:sz="6" w:space="0" w:color="auto"/>
              <w:right w:val="single" w:sz="4" w:space="0" w:color="auto"/>
            </w:tcBorders>
            <w:noWrap/>
            <w:vAlign w:val="bottom"/>
            <w:hideMark/>
          </w:tcPr>
          <w:p w14:paraId="7546F77A" w14:textId="1647F7BE"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   </w:t>
            </w:r>
          </w:p>
        </w:tc>
        <w:tc>
          <w:tcPr>
            <w:tcW w:w="1630" w:type="dxa"/>
            <w:tcBorders>
              <w:top w:val="nil"/>
              <w:left w:val="nil"/>
              <w:bottom w:val="double" w:sz="6" w:space="0" w:color="auto"/>
              <w:right w:val="single" w:sz="4" w:space="0" w:color="auto"/>
            </w:tcBorders>
            <w:noWrap/>
            <w:vAlign w:val="bottom"/>
            <w:hideMark/>
          </w:tcPr>
          <w:p w14:paraId="3E90EB3F" w14:textId="61F7F775" w:rsidR="004E51BD" w:rsidRPr="00104202" w:rsidRDefault="004E51BD" w:rsidP="004E51BD">
            <w:pPr>
              <w:suppressAutoHyphens w:val="0"/>
              <w:spacing w:after="0"/>
              <w:rPr>
                <w:rFonts w:ascii="Calibri" w:hAnsi="Calibri" w:cs="Calibri"/>
                <w:color w:val="000000"/>
                <w:sz w:val="20"/>
                <w:szCs w:val="20"/>
              </w:rPr>
            </w:pPr>
            <w:r w:rsidRPr="00104202" w:rsidDel="00F82848">
              <w:rPr>
                <w:rFonts w:ascii="Calibri" w:hAnsi="Calibri" w:cs="Calibri"/>
                <w:color w:val="000000"/>
                <w:sz w:val="20"/>
                <w:szCs w:val="20"/>
              </w:rPr>
              <w:t xml:space="preserve"> $               -   </w:t>
            </w:r>
          </w:p>
        </w:tc>
        <w:tc>
          <w:tcPr>
            <w:tcW w:w="1940" w:type="dxa"/>
            <w:tcBorders>
              <w:top w:val="nil"/>
              <w:left w:val="nil"/>
              <w:bottom w:val="double" w:sz="6" w:space="0" w:color="auto"/>
              <w:right w:val="single" w:sz="4" w:space="0" w:color="auto"/>
            </w:tcBorders>
            <w:noWrap/>
            <w:vAlign w:val="bottom"/>
            <w:hideMark/>
          </w:tcPr>
          <w:p w14:paraId="589DA754" w14:textId="00DD2FA1"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   </w:t>
            </w:r>
          </w:p>
        </w:tc>
      </w:tr>
      <w:tr w:rsidR="0039102D" w:rsidRPr="00BD6E47" w14:paraId="2FC10926" w14:textId="77777777" w:rsidTr="00B83A0A">
        <w:trPr>
          <w:cantSplit/>
          <w:trHeight w:val="101"/>
          <w:jc w:val="center"/>
        </w:trPr>
        <w:tc>
          <w:tcPr>
            <w:tcW w:w="2790" w:type="dxa"/>
            <w:gridSpan w:val="2"/>
            <w:tcBorders>
              <w:top w:val="nil"/>
              <w:left w:val="single" w:sz="4" w:space="0" w:color="auto"/>
              <w:bottom w:val="single" w:sz="4" w:space="0" w:color="auto"/>
              <w:right w:val="single" w:sz="4" w:space="0" w:color="auto"/>
            </w:tcBorders>
            <w:noWrap/>
            <w:vAlign w:val="bottom"/>
            <w:hideMark/>
          </w:tcPr>
          <w:p w14:paraId="4AE5E569" w14:textId="77777777" w:rsidR="004E51BD" w:rsidRPr="00104202" w:rsidRDefault="004E51BD" w:rsidP="004E51BD">
            <w:pPr>
              <w:suppressAutoHyphens w:val="0"/>
              <w:spacing w:after="0"/>
              <w:jc w:val="right"/>
              <w:rPr>
                <w:rFonts w:ascii="Calibri" w:hAnsi="Calibri" w:cs="Calibri"/>
                <w:b/>
                <w:bCs/>
                <w:color w:val="000000"/>
                <w:sz w:val="20"/>
                <w:szCs w:val="20"/>
              </w:rPr>
            </w:pPr>
            <w:r w:rsidRPr="00104202">
              <w:rPr>
                <w:rFonts w:ascii="Calibri" w:hAnsi="Calibri" w:cs="Calibri"/>
                <w:b/>
                <w:bCs/>
                <w:color w:val="000000"/>
                <w:sz w:val="20"/>
                <w:szCs w:val="20"/>
              </w:rPr>
              <w:t xml:space="preserve">Total Direct Costs </w:t>
            </w:r>
          </w:p>
        </w:tc>
        <w:tc>
          <w:tcPr>
            <w:tcW w:w="1555" w:type="dxa"/>
            <w:tcBorders>
              <w:top w:val="nil"/>
              <w:left w:val="nil"/>
              <w:bottom w:val="single" w:sz="4" w:space="0" w:color="auto"/>
              <w:right w:val="single" w:sz="4" w:space="0" w:color="auto"/>
            </w:tcBorders>
            <w:noWrap/>
            <w:vAlign w:val="bottom"/>
            <w:hideMark/>
          </w:tcPr>
          <w:p w14:paraId="709ED5BE" w14:textId="4078EB16"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46,270 </w:t>
            </w:r>
          </w:p>
        </w:tc>
        <w:tc>
          <w:tcPr>
            <w:tcW w:w="1595" w:type="dxa"/>
            <w:tcBorders>
              <w:top w:val="nil"/>
              <w:left w:val="nil"/>
              <w:bottom w:val="single" w:sz="4" w:space="0" w:color="auto"/>
              <w:right w:val="single" w:sz="4" w:space="0" w:color="auto"/>
            </w:tcBorders>
            <w:noWrap/>
            <w:vAlign w:val="bottom"/>
            <w:hideMark/>
          </w:tcPr>
          <w:p w14:paraId="187AC9BF" w14:textId="79DF7C4A"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34,860 </w:t>
            </w:r>
          </w:p>
        </w:tc>
        <w:tc>
          <w:tcPr>
            <w:tcW w:w="1530" w:type="dxa"/>
            <w:tcBorders>
              <w:top w:val="nil"/>
              <w:left w:val="nil"/>
              <w:bottom w:val="single" w:sz="4" w:space="0" w:color="auto"/>
              <w:right w:val="single" w:sz="4" w:space="0" w:color="auto"/>
            </w:tcBorders>
            <w:noWrap/>
            <w:vAlign w:val="bottom"/>
            <w:hideMark/>
          </w:tcPr>
          <w:p w14:paraId="399A5145" w14:textId="0DB00B43"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56,150 </w:t>
            </w:r>
          </w:p>
        </w:tc>
        <w:tc>
          <w:tcPr>
            <w:tcW w:w="1630" w:type="dxa"/>
            <w:tcBorders>
              <w:top w:val="nil"/>
              <w:left w:val="nil"/>
              <w:bottom w:val="single" w:sz="4" w:space="0" w:color="auto"/>
              <w:right w:val="single" w:sz="4" w:space="0" w:color="auto"/>
            </w:tcBorders>
            <w:noWrap/>
            <w:vAlign w:val="bottom"/>
            <w:hideMark/>
          </w:tcPr>
          <w:p w14:paraId="702C9656" w14:textId="35ACBDDE"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w:t>
            </w:r>
            <w:proofErr w:type="gramStart"/>
            <w:r w:rsidRPr="001F3C8E">
              <w:rPr>
                <w:rFonts w:ascii="Calibri" w:hAnsi="Calibri" w:cs="Calibri"/>
                <w:color w:val="000000"/>
                <w:sz w:val="20"/>
                <w:szCs w:val="20"/>
              </w:rPr>
              <w:t>$  3,825,700</w:t>
            </w:r>
            <w:proofErr w:type="gramEnd"/>
            <w:r w:rsidRPr="001F3C8E">
              <w:rPr>
                <w:rFonts w:ascii="Calibri" w:hAnsi="Calibri" w:cs="Calibri"/>
                <w:color w:val="000000"/>
                <w:sz w:val="20"/>
                <w:szCs w:val="20"/>
              </w:rPr>
              <w:t xml:space="preserve"> </w:t>
            </w:r>
          </w:p>
        </w:tc>
        <w:tc>
          <w:tcPr>
            <w:tcW w:w="1940" w:type="dxa"/>
            <w:tcBorders>
              <w:top w:val="nil"/>
              <w:left w:val="nil"/>
              <w:bottom w:val="single" w:sz="4" w:space="0" w:color="auto"/>
              <w:right w:val="single" w:sz="4" w:space="0" w:color="auto"/>
            </w:tcBorders>
            <w:noWrap/>
            <w:vAlign w:val="bottom"/>
            <w:hideMark/>
          </w:tcPr>
          <w:p w14:paraId="79904C03" w14:textId="3EFCADCA"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3,962,980 </w:t>
            </w:r>
          </w:p>
        </w:tc>
      </w:tr>
      <w:tr w:rsidR="0039102D" w:rsidRPr="00BD6E47" w14:paraId="710DF004" w14:textId="77777777" w:rsidTr="00B83A0A">
        <w:trPr>
          <w:cantSplit/>
          <w:trHeight w:val="101"/>
          <w:jc w:val="center"/>
        </w:trPr>
        <w:tc>
          <w:tcPr>
            <w:tcW w:w="2790" w:type="dxa"/>
            <w:gridSpan w:val="2"/>
            <w:tcBorders>
              <w:top w:val="single" w:sz="4" w:space="0" w:color="auto"/>
              <w:left w:val="single" w:sz="4" w:space="0" w:color="auto"/>
              <w:bottom w:val="nil"/>
              <w:right w:val="single" w:sz="4" w:space="0" w:color="auto"/>
            </w:tcBorders>
            <w:noWrap/>
            <w:vAlign w:val="bottom"/>
            <w:hideMark/>
          </w:tcPr>
          <w:p w14:paraId="1B88CC9A" w14:textId="77777777" w:rsidR="004E51BD" w:rsidRPr="00104202" w:rsidRDefault="004E51BD" w:rsidP="004E51BD">
            <w:pPr>
              <w:suppressAutoHyphens w:val="0"/>
              <w:spacing w:after="0"/>
              <w:jc w:val="right"/>
              <w:rPr>
                <w:rFonts w:ascii="Calibri" w:hAnsi="Calibri" w:cs="Calibri"/>
                <w:color w:val="000000"/>
                <w:sz w:val="20"/>
                <w:szCs w:val="20"/>
              </w:rPr>
            </w:pPr>
            <w:r w:rsidRPr="00104202">
              <w:rPr>
                <w:rFonts w:ascii="Calibri" w:hAnsi="Calibri" w:cs="Calibri"/>
                <w:color w:val="000000"/>
                <w:sz w:val="20"/>
                <w:szCs w:val="20"/>
              </w:rPr>
              <w:t xml:space="preserve">Indirect Costs </w:t>
            </w:r>
          </w:p>
        </w:tc>
        <w:tc>
          <w:tcPr>
            <w:tcW w:w="1555" w:type="dxa"/>
            <w:tcBorders>
              <w:top w:val="nil"/>
              <w:left w:val="nil"/>
              <w:bottom w:val="nil"/>
              <w:right w:val="single" w:sz="4" w:space="0" w:color="auto"/>
            </w:tcBorders>
            <w:noWrap/>
            <w:vAlign w:val="bottom"/>
            <w:hideMark/>
          </w:tcPr>
          <w:p w14:paraId="6A1DE298" w14:textId="7EA3E470" w:rsidR="004E51BD" w:rsidRPr="00104202" w:rsidRDefault="004E51BD" w:rsidP="004E51BD">
            <w:pPr>
              <w:suppressAutoHyphens w:val="0"/>
              <w:spacing w:after="0"/>
              <w:rPr>
                <w:rFonts w:ascii="Calibri" w:hAnsi="Calibri" w:cs="Calibri"/>
                <w:color w:val="000000"/>
                <w:sz w:val="20"/>
                <w:szCs w:val="20"/>
              </w:rPr>
            </w:pPr>
            <w:r w:rsidRPr="00104202" w:rsidDel="003F3BC2">
              <w:rPr>
                <w:rFonts w:ascii="Calibri" w:hAnsi="Calibri" w:cs="Calibri"/>
                <w:color w:val="000000"/>
                <w:sz w:val="20"/>
                <w:szCs w:val="20"/>
              </w:rPr>
              <w:t> </w:t>
            </w:r>
          </w:p>
        </w:tc>
        <w:tc>
          <w:tcPr>
            <w:tcW w:w="1595" w:type="dxa"/>
            <w:tcBorders>
              <w:top w:val="nil"/>
              <w:left w:val="nil"/>
              <w:bottom w:val="nil"/>
              <w:right w:val="single" w:sz="4" w:space="0" w:color="auto"/>
            </w:tcBorders>
            <w:noWrap/>
            <w:vAlign w:val="bottom"/>
            <w:hideMark/>
          </w:tcPr>
          <w:p w14:paraId="178AD955" w14:textId="707F9685" w:rsidR="004E51BD" w:rsidRPr="00104202" w:rsidRDefault="004E51BD" w:rsidP="004E51BD">
            <w:pPr>
              <w:suppressAutoHyphens w:val="0"/>
              <w:spacing w:after="0"/>
              <w:rPr>
                <w:rFonts w:ascii="Calibri" w:hAnsi="Calibri" w:cs="Calibri"/>
                <w:color w:val="000000"/>
                <w:sz w:val="20"/>
                <w:szCs w:val="20"/>
              </w:rPr>
            </w:pPr>
            <w:r w:rsidRPr="00104202" w:rsidDel="003F3BC2">
              <w:rPr>
                <w:rFonts w:ascii="Calibri" w:hAnsi="Calibri" w:cs="Calibri"/>
                <w:color w:val="000000"/>
                <w:sz w:val="20"/>
                <w:szCs w:val="20"/>
              </w:rPr>
              <w:t> </w:t>
            </w:r>
          </w:p>
        </w:tc>
        <w:tc>
          <w:tcPr>
            <w:tcW w:w="1530" w:type="dxa"/>
            <w:tcBorders>
              <w:top w:val="nil"/>
              <w:left w:val="nil"/>
              <w:bottom w:val="nil"/>
              <w:right w:val="single" w:sz="4" w:space="0" w:color="auto"/>
            </w:tcBorders>
            <w:noWrap/>
            <w:vAlign w:val="bottom"/>
            <w:hideMark/>
          </w:tcPr>
          <w:p w14:paraId="44C04BE0" w14:textId="69BE53A4" w:rsidR="004E51BD" w:rsidRPr="00104202" w:rsidRDefault="004E51BD" w:rsidP="004E51BD">
            <w:pPr>
              <w:suppressAutoHyphens w:val="0"/>
              <w:spacing w:after="0"/>
              <w:rPr>
                <w:rFonts w:ascii="Calibri" w:hAnsi="Calibri" w:cs="Calibri"/>
                <w:color w:val="000000"/>
                <w:sz w:val="20"/>
                <w:szCs w:val="20"/>
              </w:rPr>
            </w:pPr>
            <w:r w:rsidRPr="00104202" w:rsidDel="003F3BC2">
              <w:rPr>
                <w:rFonts w:ascii="Calibri" w:hAnsi="Calibri" w:cs="Calibri"/>
                <w:color w:val="000000"/>
                <w:sz w:val="20"/>
                <w:szCs w:val="20"/>
              </w:rPr>
              <w:t> </w:t>
            </w:r>
          </w:p>
        </w:tc>
        <w:tc>
          <w:tcPr>
            <w:tcW w:w="1630" w:type="dxa"/>
            <w:tcBorders>
              <w:top w:val="nil"/>
              <w:left w:val="nil"/>
              <w:bottom w:val="nil"/>
              <w:right w:val="single" w:sz="4" w:space="0" w:color="auto"/>
            </w:tcBorders>
            <w:noWrap/>
            <w:vAlign w:val="bottom"/>
            <w:hideMark/>
          </w:tcPr>
          <w:p w14:paraId="202B9A7B" w14:textId="459BA700" w:rsidR="004E51BD" w:rsidRPr="00104202" w:rsidRDefault="004E51BD" w:rsidP="004E51BD">
            <w:pPr>
              <w:suppressAutoHyphens w:val="0"/>
              <w:spacing w:after="0"/>
              <w:rPr>
                <w:rFonts w:ascii="Calibri" w:hAnsi="Calibri" w:cs="Calibri"/>
                <w:color w:val="000000"/>
                <w:sz w:val="20"/>
                <w:szCs w:val="20"/>
              </w:rPr>
            </w:pPr>
            <w:r w:rsidRPr="00104202" w:rsidDel="003F3BC2">
              <w:rPr>
                <w:rFonts w:ascii="Calibri" w:hAnsi="Calibri" w:cs="Calibri"/>
                <w:color w:val="000000"/>
                <w:sz w:val="20"/>
                <w:szCs w:val="20"/>
              </w:rPr>
              <w:t> </w:t>
            </w:r>
          </w:p>
        </w:tc>
        <w:tc>
          <w:tcPr>
            <w:tcW w:w="1940" w:type="dxa"/>
            <w:tcBorders>
              <w:top w:val="nil"/>
              <w:left w:val="nil"/>
              <w:bottom w:val="nil"/>
              <w:right w:val="single" w:sz="4" w:space="0" w:color="auto"/>
            </w:tcBorders>
            <w:noWrap/>
            <w:vAlign w:val="bottom"/>
            <w:hideMark/>
          </w:tcPr>
          <w:p w14:paraId="43D22CD0" w14:textId="7F627E77" w:rsidR="004E51BD" w:rsidRPr="00104202" w:rsidRDefault="004E51BD" w:rsidP="004E51BD">
            <w:pPr>
              <w:suppressAutoHyphens w:val="0"/>
              <w:spacing w:after="0"/>
              <w:rPr>
                <w:rFonts w:ascii="Calibri" w:hAnsi="Calibri" w:cs="Calibri"/>
                <w:color w:val="000000"/>
                <w:sz w:val="20"/>
                <w:szCs w:val="20"/>
              </w:rPr>
            </w:pPr>
            <w:r w:rsidRPr="00104202" w:rsidDel="003F3BC2">
              <w:rPr>
                <w:rFonts w:ascii="Calibri" w:hAnsi="Calibri" w:cs="Calibri"/>
                <w:color w:val="000000"/>
                <w:sz w:val="20"/>
                <w:szCs w:val="20"/>
              </w:rPr>
              <w:t> </w:t>
            </w:r>
          </w:p>
        </w:tc>
      </w:tr>
      <w:tr w:rsidR="0039102D" w:rsidRPr="00BD6E47" w14:paraId="1DE62D46" w14:textId="77777777" w:rsidTr="00B83A0A">
        <w:trPr>
          <w:cantSplit/>
          <w:trHeight w:val="101"/>
          <w:jc w:val="center"/>
        </w:trPr>
        <w:tc>
          <w:tcPr>
            <w:tcW w:w="2790" w:type="dxa"/>
            <w:gridSpan w:val="2"/>
            <w:tcBorders>
              <w:top w:val="single" w:sz="8" w:space="0" w:color="auto"/>
              <w:left w:val="single" w:sz="8" w:space="0" w:color="auto"/>
              <w:bottom w:val="single" w:sz="8" w:space="0" w:color="auto"/>
              <w:right w:val="single" w:sz="4" w:space="0" w:color="auto"/>
            </w:tcBorders>
            <w:noWrap/>
            <w:vAlign w:val="bottom"/>
            <w:hideMark/>
          </w:tcPr>
          <w:p w14:paraId="3EBDBC18" w14:textId="0FCAA950" w:rsidR="004E51BD" w:rsidRPr="00104202" w:rsidRDefault="004E51BD" w:rsidP="001F3C8E">
            <w:pPr>
              <w:suppressAutoHyphens w:val="0"/>
              <w:spacing w:after="0"/>
              <w:rPr>
                <w:rFonts w:ascii="Calibri" w:hAnsi="Calibri" w:cs="Calibri"/>
                <w:b/>
                <w:bCs/>
                <w:color w:val="000000"/>
                <w:sz w:val="20"/>
                <w:szCs w:val="20"/>
              </w:rPr>
            </w:pPr>
            <w:r w:rsidRPr="00104202">
              <w:rPr>
                <w:rFonts w:ascii="Calibri" w:hAnsi="Calibri" w:cs="Calibri"/>
                <w:b/>
                <w:bCs/>
                <w:color w:val="000000"/>
                <w:sz w:val="20"/>
                <w:szCs w:val="20"/>
              </w:rPr>
              <w:t xml:space="preserve">Total Budget </w:t>
            </w:r>
            <w:r w:rsidR="00B33DD0" w:rsidRPr="00104202">
              <w:rPr>
                <w:rFonts w:ascii="Calibri" w:hAnsi="Calibri" w:cs="Calibri"/>
                <w:b/>
                <w:bCs/>
                <w:color w:val="000000"/>
                <w:sz w:val="20"/>
                <w:szCs w:val="20"/>
              </w:rPr>
              <w:t>(Direct</w:t>
            </w:r>
            <w:r w:rsidR="000146EE" w:rsidRPr="00104202">
              <w:rPr>
                <w:rFonts w:ascii="Calibri" w:hAnsi="Calibri" w:cs="Calibri"/>
                <w:b/>
                <w:bCs/>
                <w:color w:val="000000"/>
                <w:sz w:val="20"/>
                <w:szCs w:val="20"/>
              </w:rPr>
              <w:t xml:space="preserve"> + Indirect</w:t>
            </w:r>
          </w:p>
        </w:tc>
        <w:tc>
          <w:tcPr>
            <w:tcW w:w="1555" w:type="dxa"/>
            <w:tcBorders>
              <w:top w:val="single" w:sz="8" w:space="0" w:color="auto"/>
              <w:left w:val="nil"/>
              <w:bottom w:val="single" w:sz="8" w:space="0" w:color="auto"/>
              <w:right w:val="single" w:sz="4" w:space="0" w:color="auto"/>
            </w:tcBorders>
            <w:noWrap/>
            <w:vAlign w:val="bottom"/>
            <w:hideMark/>
          </w:tcPr>
          <w:p w14:paraId="0FE5BB44" w14:textId="48496C0D"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46,270 </w:t>
            </w:r>
          </w:p>
        </w:tc>
        <w:tc>
          <w:tcPr>
            <w:tcW w:w="1595" w:type="dxa"/>
            <w:tcBorders>
              <w:top w:val="single" w:sz="8" w:space="0" w:color="auto"/>
              <w:left w:val="nil"/>
              <w:bottom w:val="single" w:sz="8" w:space="0" w:color="auto"/>
              <w:right w:val="single" w:sz="4" w:space="0" w:color="auto"/>
            </w:tcBorders>
            <w:noWrap/>
            <w:vAlign w:val="bottom"/>
            <w:hideMark/>
          </w:tcPr>
          <w:p w14:paraId="7B4DCB4F" w14:textId="43C30A70"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34,860 </w:t>
            </w:r>
          </w:p>
        </w:tc>
        <w:tc>
          <w:tcPr>
            <w:tcW w:w="1530" w:type="dxa"/>
            <w:tcBorders>
              <w:top w:val="single" w:sz="8" w:space="0" w:color="auto"/>
              <w:left w:val="nil"/>
              <w:bottom w:val="single" w:sz="8" w:space="0" w:color="auto"/>
              <w:right w:val="single" w:sz="4" w:space="0" w:color="auto"/>
            </w:tcBorders>
            <w:noWrap/>
            <w:vAlign w:val="bottom"/>
            <w:hideMark/>
          </w:tcPr>
          <w:p w14:paraId="727D8AF6" w14:textId="2C743637"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56,150 </w:t>
            </w:r>
          </w:p>
        </w:tc>
        <w:tc>
          <w:tcPr>
            <w:tcW w:w="1630" w:type="dxa"/>
            <w:tcBorders>
              <w:top w:val="single" w:sz="8" w:space="0" w:color="auto"/>
              <w:left w:val="nil"/>
              <w:bottom w:val="single" w:sz="8" w:space="0" w:color="auto"/>
              <w:right w:val="single" w:sz="4" w:space="0" w:color="auto"/>
            </w:tcBorders>
            <w:noWrap/>
            <w:vAlign w:val="bottom"/>
            <w:hideMark/>
          </w:tcPr>
          <w:p w14:paraId="5548E38C" w14:textId="0150B96C"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w:t>
            </w:r>
            <w:proofErr w:type="gramStart"/>
            <w:r w:rsidRPr="001F3C8E">
              <w:rPr>
                <w:rFonts w:ascii="Calibri" w:hAnsi="Calibri" w:cs="Calibri"/>
                <w:color w:val="000000"/>
                <w:sz w:val="20"/>
                <w:szCs w:val="20"/>
              </w:rPr>
              <w:t>$  3,825,700</w:t>
            </w:r>
            <w:proofErr w:type="gramEnd"/>
            <w:r w:rsidRPr="001F3C8E">
              <w:rPr>
                <w:rFonts w:ascii="Calibri" w:hAnsi="Calibri" w:cs="Calibri"/>
                <w:color w:val="000000"/>
                <w:sz w:val="20"/>
                <w:szCs w:val="20"/>
              </w:rPr>
              <w:t xml:space="preserve"> </w:t>
            </w:r>
          </w:p>
        </w:tc>
        <w:tc>
          <w:tcPr>
            <w:tcW w:w="1940" w:type="dxa"/>
            <w:tcBorders>
              <w:top w:val="single" w:sz="8" w:space="0" w:color="auto"/>
              <w:left w:val="nil"/>
              <w:bottom w:val="single" w:sz="8" w:space="0" w:color="auto"/>
              <w:right w:val="single" w:sz="4" w:space="0" w:color="auto"/>
            </w:tcBorders>
            <w:noWrap/>
            <w:vAlign w:val="bottom"/>
            <w:hideMark/>
          </w:tcPr>
          <w:p w14:paraId="684E4627" w14:textId="10E604C2" w:rsidR="004E51BD" w:rsidRPr="00104202" w:rsidRDefault="004E51BD" w:rsidP="004E51BD">
            <w:pPr>
              <w:suppressAutoHyphens w:val="0"/>
              <w:spacing w:after="0"/>
              <w:rPr>
                <w:rFonts w:ascii="Calibri" w:hAnsi="Calibri" w:cs="Calibri"/>
                <w:color w:val="000000"/>
                <w:sz w:val="20"/>
                <w:szCs w:val="20"/>
              </w:rPr>
            </w:pPr>
            <w:r w:rsidRPr="001F3C8E">
              <w:rPr>
                <w:rFonts w:ascii="Calibri" w:hAnsi="Calibri" w:cs="Calibri"/>
                <w:color w:val="000000"/>
                <w:sz w:val="20"/>
                <w:szCs w:val="20"/>
              </w:rPr>
              <w:t xml:space="preserve"> $           3,962,980 </w:t>
            </w:r>
          </w:p>
        </w:tc>
      </w:tr>
    </w:tbl>
    <w:p w14:paraId="537674E6" w14:textId="473BD566" w:rsidR="00AB71CD" w:rsidRPr="00B05C90" w:rsidRDefault="00AB71CD" w:rsidP="001F3C8E">
      <w:pPr>
        <w:pStyle w:val="TableTitle"/>
      </w:pPr>
      <w:r w:rsidRPr="00B05C90">
        <w:t xml:space="preserve">Table </w:t>
      </w:r>
      <w:r w:rsidR="00607B47">
        <w:t>7</w:t>
      </w:r>
      <w:r w:rsidRPr="00B05C90">
        <w:t>. Cost Estimate Table</w:t>
      </w:r>
    </w:p>
    <w:tbl>
      <w:tblPr>
        <w:tblStyle w:val="TableGrid"/>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0098"/>
      </w:tblGrid>
      <w:tr w:rsidR="00CB12B2" w:rsidRPr="00BD6E47" w14:paraId="1CBC7D5B" w14:textId="77777777" w:rsidTr="001F3C8E">
        <w:trPr>
          <w:trHeight w:val="233"/>
          <w:jc w:val="center"/>
        </w:trPr>
        <w:tc>
          <w:tcPr>
            <w:tcW w:w="1255" w:type="dxa"/>
            <w:shd w:val="clear" w:color="auto" w:fill="BFBFBF" w:themeFill="background1" w:themeFillShade="BF"/>
            <w:vAlign w:val="center"/>
          </w:tcPr>
          <w:p w14:paraId="6C1802BA" w14:textId="36CABAB2" w:rsidR="00CB12B2" w:rsidRPr="00104202" w:rsidRDefault="00F97A89" w:rsidP="00F53780">
            <w:pPr>
              <w:jc w:val="left"/>
              <w:rPr>
                <w:b/>
                <w:bCs/>
                <w:sz w:val="20"/>
                <w:szCs w:val="20"/>
              </w:rPr>
            </w:pPr>
            <w:r w:rsidRPr="00104202">
              <w:rPr>
                <w:b/>
                <w:bCs/>
                <w:sz w:val="20"/>
                <w:szCs w:val="20"/>
              </w:rPr>
              <w:t>Task</w:t>
            </w:r>
          </w:p>
        </w:tc>
        <w:tc>
          <w:tcPr>
            <w:tcW w:w="10175" w:type="dxa"/>
            <w:shd w:val="clear" w:color="auto" w:fill="BFBFBF" w:themeFill="background1" w:themeFillShade="BF"/>
            <w:vAlign w:val="center"/>
          </w:tcPr>
          <w:p w14:paraId="702D810B" w14:textId="288064EA" w:rsidR="00CB12B2" w:rsidRPr="00104202" w:rsidRDefault="00F97A89" w:rsidP="00F53780">
            <w:pPr>
              <w:jc w:val="left"/>
              <w:rPr>
                <w:b/>
                <w:bCs/>
                <w:sz w:val="20"/>
                <w:szCs w:val="20"/>
              </w:rPr>
            </w:pPr>
            <w:r w:rsidRPr="00104202">
              <w:rPr>
                <w:b/>
                <w:bCs/>
                <w:sz w:val="20"/>
                <w:szCs w:val="20"/>
              </w:rPr>
              <w:t xml:space="preserve">Cost Basis and </w:t>
            </w:r>
            <w:r w:rsidRPr="00104202">
              <w:rPr>
                <w:rFonts w:ascii="Calibri" w:hAnsi="Calibri" w:cs="Calibri"/>
                <w:b/>
                <w:color w:val="000000"/>
                <w:sz w:val="20"/>
                <w:szCs w:val="20"/>
              </w:rPr>
              <w:t>Assumptions (Avg. Rate $</w:t>
            </w:r>
            <w:r w:rsidR="00783338" w:rsidRPr="00104202">
              <w:rPr>
                <w:rFonts w:ascii="Calibri" w:hAnsi="Calibri" w:cs="Calibri"/>
                <w:b/>
                <w:color w:val="000000"/>
                <w:sz w:val="20"/>
                <w:szCs w:val="20"/>
              </w:rPr>
              <w:t>50</w:t>
            </w:r>
            <w:r w:rsidRPr="00104202">
              <w:rPr>
                <w:rFonts w:ascii="Calibri" w:hAnsi="Calibri" w:cs="Calibri"/>
                <w:b/>
                <w:color w:val="000000"/>
                <w:sz w:val="20"/>
                <w:szCs w:val="20"/>
              </w:rPr>
              <w:t>/hr</w:t>
            </w:r>
            <w:r w:rsidR="00396A03" w:rsidRPr="00104202">
              <w:rPr>
                <w:rFonts w:ascii="Calibri" w:hAnsi="Calibri" w:cs="Calibri"/>
                <w:b/>
                <w:color w:val="000000"/>
                <w:sz w:val="20"/>
                <w:szCs w:val="20"/>
              </w:rPr>
              <w:t>.</w:t>
            </w:r>
            <w:r w:rsidRPr="00104202">
              <w:rPr>
                <w:rFonts w:ascii="Calibri" w:hAnsi="Calibri" w:cs="Calibri"/>
                <w:b/>
                <w:color w:val="000000"/>
                <w:sz w:val="20"/>
                <w:szCs w:val="20"/>
              </w:rPr>
              <w:t xml:space="preserve"> for </w:t>
            </w:r>
            <w:r w:rsidR="008D7D55" w:rsidRPr="001F3C8E">
              <w:rPr>
                <w:rFonts w:ascii="Calibri" w:hAnsi="Calibri" w:cs="Calibri"/>
                <w:b/>
                <w:color w:val="000000"/>
                <w:sz w:val="20"/>
                <w:szCs w:val="20"/>
              </w:rPr>
              <w:t>Mullica</w:t>
            </w:r>
            <w:r w:rsidRPr="00104202">
              <w:rPr>
                <w:rFonts w:ascii="Calibri" w:hAnsi="Calibri" w:cs="Calibri"/>
                <w:b/>
                <w:color w:val="000000"/>
                <w:sz w:val="20"/>
                <w:szCs w:val="20"/>
              </w:rPr>
              <w:t>, $2</w:t>
            </w:r>
            <w:r w:rsidR="0015030E" w:rsidRPr="001F3C8E">
              <w:rPr>
                <w:rFonts w:ascii="Calibri" w:hAnsi="Calibri" w:cs="Calibri"/>
                <w:b/>
                <w:color w:val="000000"/>
                <w:sz w:val="20"/>
                <w:szCs w:val="20"/>
              </w:rPr>
              <w:t>1</w:t>
            </w:r>
            <w:r w:rsidRPr="00104202">
              <w:rPr>
                <w:rFonts w:ascii="Calibri" w:hAnsi="Calibri" w:cs="Calibri"/>
                <w:b/>
                <w:color w:val="000000"/>
                <w:sz w:val="20"/>
                <w:szCs w:val="20"/>
              </w:rPr>
              <w:t>0</w:t>
            </w:r>
            <w:r w:rsidR="00783338" w:rsidRPr="00104202">
              <w:rPr>
                <w:rFonts w:ascii="Calibri" w:hAnsi="Calibri" w:cs="Calibri"/>
                <w:b/>
                <w:color w:val="000000"/>
                <w:sz w:val="20"/>
                <w:szCs w:val="20"/>
              </w:rPr>
              <w:t xml:space="preserve">/hour for </w:t>
            </w:r>
            <w:r w:rsidR="008C6CCF" w:rsidRPr="001F3C8E">
              <w:rPr>
                <w:rFonts w:ascii="Calibri" w:hAnsi="Calibri" w:cs="Calibri"/>
                <w:b/>
                <w:color w:val="000000"/>
                <w:sz w:val="20"/>
                <w:szCs w:val="20"/>
              </w:rPr>
              <w:t>Env</w:t>
            </w:r>
            <w:r w:rsidR="00F74047" w:rsidRPr="001F3C8E">
              <w:rPr>
                <w:rFonts w:ascii="Calibri" w:hAnsi="Calibri" w:cs="Calibri"/>
                <w:b/>
                <w:color w:val="000000"/>
                <w:sz w:val="20"/>
                <w:szCs w:val="20"/>
              </w:rPr>
              <w:t>i</w:t>
            </w:r>
            <w:r w:rsidR="008C6CCF" w:rsidRPr="001F3C8E">
              <w:rPr>
                <w:rFonts w:ascii="Calibri" w:hAnsi="Calibri" w:cs="Calibri"/>
                <w:b/>
                <w:color w:val="000000"/>
                <w:sz w:val="20"/>
                <w:szCs w:val="20"/>
              </w:rPr>
              <w:t xml:space="preserve">ronmental </w:t>
            </w:r>
            <w:r w:rsidR="002F1BC4" w:rsidRPr="001F3C8E">
              <w:rPr>
                <w:rFonts w:ascii="Calibri" w:hAnsi="Calibri" w:cs="Calibri"/>
                <w:b/>
                <w:color w:val="000000"/>
                <w:sz w:val="20"/>
                <w:szCs w:val="20"/>
              </w:rPr>
              <w:t>Con</w:t>
            </w:r>
            <w:r w:rsidR="008C6CCF" w:rsidRPr="001F3C8E">
              <w:rPr>
                <w:rFonts w:ascii="Calibri" w:hAnsi="Calibri" w:cs="Calibri"/>
                <w:b/>
                <w:color w:val="000000"/>
                <w:sz w:val="20"/>
                <w:szCs w:val="20"/>
              </w:rPr>
              <w:t>sultant)</w:t>
            </w:r>
          </w:p>
        </w:tc>
      </w:tr>
      <w:tr w:rsidR="000154B4" w:rsidRPr="00BD6E47" w14:paraId="206A9DAC" w14:textId="77777777" w:rsidTr="001F3C8E">
        <w:trPr>
          <w:trHeight w:val="530"/>
          <w:jc w:val="center"/>
        </w:trPr>
        <w:tc>
          <w:tcPr>
            <w:tcW w:w="1255" w:type="dxa"/>
            <w:vAlign w:val="center"/>
          </w:tcPr>
          <w:p w14:paraId="0621D75E" w14:textId="139AE8AD" w:rsidR="00CB12B2" w:rsidRPr="00104202" w:rsidRDefault="000154B4" w:rsidP="00F53780">
            <w:pPr>
              <w:jc w:val="left"/>
              <w:rPr>
                <w:b/>
                <w:bCs/>
                <w:sz w:val="20"/>
                <w:szCs w:val="20"/>
              </w:rPr>
            </w:pPr>
            <w:r w:rsidRPr="00104202">
              <w:rPr>
                <w:b/>
                <w:bCs/>
                <w:sz w:val="20"/>
                <w:szCs w:val="20"/>
              </w:rPr>
              <w:t>1. Project Management</w:t>
            </w:r>
          </w:p>
        </w:tc>
        <w:tc>
          <w:tcPr>
            <w:tcW w:w="10175" w:type="dxa"/>
            <w:vAlign w:val="center"/>
          </w:tcPr>
          <w:p w14:paraId="381AA475" w14:textId="36C817BC" w:rsidR="009B290E" w:rsidRPr="001F3C8E" w:rsidRDefault="00C43FDE" w:rsidP="001F3C8E">
            <w:pPr>
              <w:spacing w:after="0"/>
              <w:jc w:val="left"/>
              <w:rPr>
                <w:color w:val="auto"/>
                <w:sz w:val="20"/>
                <w:szCs w:val="20"/>
                <w:u w:val="single"/>
              </w:rPr>
            </w:pPr>
            <w:r w:rsidRPr="001F3C8E">
              <w:rPr>
                <w:color w:val="auto"/>
                <w:sz w:val="20"/>
                <w:szCs w:val="20"/>
                <w:u w:val="single"/>
              </w:rPr>
              <w:t>Personnel and Fringe Total = $</w:t>
            </w:r>
            <w:r w:rsidR="00974751" w:rsidRPr="001F3C8E">
              <w:rPr>
                <w:color w:val="auto"/>
                <w:sz w:val="20"/>
                <w:szCs w:val="20"/>
                <w:u w:val="single"/>
              </w:rPr>
              <w:t>8,540</w:t>
            </w:r>
            <w:r w:rsidRPr="001F3C8E">
              <w:rPr>
                <w:color w:val="auto"/>
                <w:sz w:val="20"/>
                <w:szCs w:val="20"/>
                <w:u w:val="single"/>
              </w:rPr>
              <w:t xml:space="preserve"> (Personnel = $</w:t>
            </w:r>
            <w:r w:rsidR="00974751" w:rsidRPr="001F3C8E">
              <w:rPr>
                <w:color w:val="auto"/>
                <w:sz w:val="20"/>
                <w:szCs w:val="20"/>
                <w:u w:val="single"/>
              </w:rPr>
              <w:t>6,100</w:t>
            </w:r>
            <w:r w:rsidRPr="001F3C8E">
              <w:rPr>
                <w:color w:val="auto"/>
                <w:sz w:val="20"/>
                <w:szCs w:val="20"/>
                <w:u w:val="single"/>
              </w:rPr>
              <w:t xml:space="preserve"> + Fringe </w:t>
            </w:r>
            <w:r w:rsidR="0074788D" w:rsidRPr="001F3C8E">
              <w:rPr>
                <w:color w:val="auto"/>
                <w:sz w:val="20"/>
                <w:szCs w:val="20"/>
                <w:u w:val="single"/>
              </w:rPr>
              <w:t>[</w:t>
            </w:r>
            <w:r w:rsidR="00044289" w:rsidRPr="001F3C8E">
              <w:rPr>
                <w:color w:val="auto"/>
                <w:sz w:val="20"/>
                <w:szCs w:val="20"/>
                <w:u w:val="single"/>
              </w:rPr>
              <w:t>40</w:t>
            </w:r>
            <w:r w:rsidRPr="001F3C8E">
              <w:rPr>
                <w:color w:val="auto"/>
                <w:sz w:val="20"/>
                <w:szCs w:val="20"/>
                <w:u w:val="single"/>
              </w:rPr>
              <w:t>%</w:t>
            </w:r>
            <w:r w:rsidR="0074788D" w:rsidRPr="001F3C8E">
              <w:rPr>
                <w:color w:val="auto"/>
                <w:sz w:val="20"/>
                <w:szCs w:val="20"/>
                <w:u w:val="single"/>
              </w:rPr>
              <w:t>]</w:t>
            </w:r>
            <w:r w:rsidRPr="001F3C8E">
              <w:rPr>
                <w:color w:val="auto"/>
                <w:sz w:val="20"/>
                <w:szCs w:val="20"/>
                <w:u w:val="single"/>
              </w:rPr>
              <w:t xml:space="preserve"> = $</w:t>
            </w:r>
            <w:r w:rsidR="00974751" w:rsidRPr="001F3C8E">
              <w:rPr>
                <w:color w:val="auto"/>
                <w:sz w:val="20"/>
                <w:szCs w:val="20"/>
                <w:u w:val="single"/>
              </w:rPr>
              <w:t>2,440</w:t>
            </w:r>
            <w:r w:rsidRPr="001F3C8E">
              <w:rPr>
                <w:color w:val="auto"/>
                <w:sz w:val="20"/>
                <w:szCs w:val="20"/>
                <w:u w:val="single"/>
              </w:rPr>
              <w:t xml:space="preserve">) </w:t>
            </w:r>
          </w:p>
          <w:p w14:paraId="039BB1A6" w14:textId="3559249C" w:rsidR="00F537DF" w:rsidRPr="001F3C8E" w:rsidRDefault="00C43FDE" w:rsidP="00B05C90">
            <w:pPr>
              <w:spacing w:after="0"/>
              <w:jc w:val="left"/>
              <w:rPr>
                <w:color w:val="auto"/>
                <w:sz w:val="20"/>
                <w:szCs w:val="20"/>
              </w:rPr>
            </w:pPr>
            <w:r w:rsidRPr="001F3C8E">
              <w:rPr>
                <w:color w:val="auto"/>
                <w:sz w:val="20"/>
                <w:szCs w:val="20"/>
              </w:rPr>
              <w:t xml:space="preserve">Review </w:t>
            </w:r>
            <w:r w:rsidR="001C4852" w:rsidRPr="001F3C8E">
              <w:rPr>
                <w:color w:val="auto"/>
                <w:sz w:val="20"/>
                <w:szCs w:val="20"/>
              </w:rPr>
              <w:t>LSRP</w:t>
            </w:r>
            <w:r w:rsidRPr="001F3C8E">
              <w:rPr>
                <w:color w:val="auto"/>
                <w:sz w:val="20"/>
                <w:szCs w:val="20"/>
              </w:rPr>
              <w:t>-prepared quarterly report (</w:t>
            </w:r>
            <w:r w:rsidR="00044289" w:rsidRPr="001F3C8E">
              <w:rPr>
                <w:color w:val="auto"/>
                <w:sz w:val="20"/>
                <w:szCs w:val="20"/>
              </w:rPr>
              <w:t>1h</w:t>
            </w:r>
            <w:r w:rsidRPr="001F3C8E">
              <w:rPr>
                <w:color w:val="auto"/>
                <w:sz w:val="20"/>
                <w:szCs w:val="20"/>
              </w:rPr>
              <w:t xml:space="preserve">/report x 8 reports = </w:t>
            </w:r>
            <w:r w:rsidR="00044289" w:rsidRPr="001F3C8E">
              <w:rPr>
                <w:color w:val="auto"/>
                <w:sz w:val="20"/>
                <w:szCs w:val="20"/>
              </w:rPr>
              <w:t xml:space="preserve">8 </w:t>
            </w:r>
            <w:proofErr w:type="spellStart"/>
            <w:r w:rsidRPr="001F3C8E">
              <w:rPr>
                <w:color w:val="auto"/>
                <w:sz w:val="20"/>
                <w:szCs w:val="20"/>
              </w:rPr>
              <w:t>hrs</w:t>
            </w:r>
            <w:proofErr w:type="spellEnd"/>
            <w:r w:rsidRPr="001F3C8E">
              <w:rPr>
                <w:color w:val="auto"/>
                <w:sz w:val="20"/>
                <w:szCs w:val="20"/>
              </w:rPr>
              <w:t xml:space="preserve"> x $</w:t>
            </w:r>
            <w:r w:rsidR="00044289" w:rsidRPr="001F3C8E">
              <w:rPr>
                <w:color w:val="auto"/>
                <w:sz w:val="20"/>
                <w:szCs w:val="20"/>
              </w:rPr>
              <w:t>50</w:t>
            </w:r>
            <w:r w:rsidRPr="001F3C8E">
              <w:rPr>
                <w:color w:val="auto"/>
                <w:sz w:val="20"/>
                <w:szCs w:val="20"/>
              </w:rPr>
              <w:t>/</w:t>
            </w:r>
            <w:proofErr w:type="spellStart"/>
            <w:r w:rsidRPr="001F3C8E">
              <w:rPr>
                <w:color w:val="auto"/>
                <w:sz w:val="20"/>
                <w:szCs w:val="20"/>
              </w:rPr>
              <w:t>hr</w:t>
            </w:r>
            <w:proofErr w:type="spellEnd"/>
            <w:r w:rsidRPr="001F3C8E">
              <w:rPr>
                <w:color w:val="auto"/>
                <w:sz w:val="20"/>
                <w:szCs w:val="20"/>
              </w:rPr>
              <w:t xml:space="preserve"> + </w:t>
            </w:r>
            <w:r w:rsidR="00044289" w:rsidRPr="001F3C8E">
              <w:rPr>
                <w:color w:val="auto"/>
                <w:sz w:val="20"/>
                <w:szCs w:val="20"/>
              </w:rPr>
              <w:t>40</w:t>
            </w:r>
            <w:r w:rsidRPr="001F3C8E">
              <w:rPr>
                <w:color w:val="auto"/>
                <w:sz w:val="20"/>
                <w:szCs w:val="20"/>
              </w:rPr>
              <w:t>% fringe = $</w:t>
            </w:r>
            <w:r w:rsidR="00044289" w:rsidRPr="001F3C8E">
              <w:rPr>
                <w:color w:val="auto"/>
                <w:sz w:val="20"/>
                <w:szCs w:val="20"/>
              </w:rPr>
              <w:t>560</w:t>
            </w:r>
            <w:r w:rsidRPr="001F3C8E">
              <w:rPr>
                <w:color w:val="auto"/>
                <w:sz w:val="20"/>
                <w:szCs w:val="20"/>
              </w:rPr>
              <w:t xml:space="preserve">); attend </w:t>
            </w:r>
            <w:r w:rsidR="00044289" w:rsidRPr="001F3C8E">
              <w:rPr>
                <w:color w:val="auto"/>
                <w:sz w:val="20"/>
                <w:szCs w:val="20"/>
              </w:rPr>
              <w:t xml:space="preserve">48 </w:t>
            </w:r>
            <w:r w:rsidRPr="001F3C8E">
              <w:rPr>
                <w:color w:val="auto"/>
                <w:sz w:val="20"/>
                <w:szCs w:val="20"/>
              </w:rPr>
              <w:t>team meetings (</w:t>
            </w:r>
            <w:r w:rsidR="00044289" w:rsidRPr="001F3C8E">
              <w:rPr>
                <w:color w:val="auto"/>
                <w:sz w:val="20"/>
                <w:szCs w:val="20"/>
              </w:rPr>
              <w:t>1h</w:t>
            </w:r>
            <w:r w:rsidRPr="001F3C8E">
              <w:rPr>
                <w:color w:val="auto"/>
                <w:sz w:val="20"/>
                <w:szCs w:val="20"/>
              </w:rPr>
              <w:t xml:space="preserve">/meeting x </w:t>
            </w:r>
            <w:r w:rsidR="00044289" w:rsidRPr="001F3C8E">
              <w:rPr>
                <w:color w:val="auto"/>
                <w:sz w:val="20"/>
                <w:szCs w:val="20"/>
              </w:rPr>
              <w:t xml:space="preserve">48 </w:t>
            </w:r>
            <w:r w:rsidRPr="001F3C8E">
              <w:rPr>
                <w:color w:val="auto"/>
                <w:sz w:val="20"/>
                <w:szCs w:val="20"/>
              </w:rPr>
              <w:t xml:space="preserve">meetings = 48 </w:t>
            </w:r>
            <w:proofErr w:type="spellStart"/>
            <w:r w:rsidRPr="001F3C8E">
              <w:rPr>
                <w:color w:val="auto"/>
                <w:sz w:val="20"/>
                <w:szCs w:val="20"/>
              </w:rPr>
              <w:t>hrs</w:t>
            </w:r>
            <w:proofErr w:type="spellEnd"/>
            <w:r w:rsidRPr="001F3C8E">
              <w:rPr>
                <w:color w:val="auto"/>
                <w:sz w:val="20"/>
                <w:szCs w:val="20"/>
              </w:rPr>
              <w:t xml:space="preserve"> x $</w:t>
            </w:r>
            <w:r w:rsidR="00044289" w:rsidRPr="001F3C8E">
              <w:rPr>
                <w:color w:val="auto"/>
                <w:sz w:val="20"/>
                <w:szCs w:val="20"/>
              </w:rPr>
              <w:t>50</w:t>
            </w:r>
            <w:r w:rsidRPr="001F3C8E">
              <w:rPr>
                <w:color w:val="auto"/>
                <w:sz w:val="20"/>
                <w:szCs w:val="20"/>
              </w:rPr>
              <w:t>/</w:t>
            </w:r>
            <w:proofErr w:type="spellStart"/>
            <w:r w:rsidRPr="001F3C8E">
              <w:rPr>
                <w:color w:val="auto"/>
                <w:sz w:val="20"/>
                <w:szCs w:val="20"/>
              </w:rPr>
              <w:t>hr</w:t>
            </w:r>
            <w:proofErr w:type="spellEnd"/>
            <w:r w:rsidRPr="001F3C8E">
              <w:rPr>
                <w:color w:val="auto"/>
                <w:sz w:val="20"/>
                <w:szCs w:val="20"/>
              </w:rPr>
              <w:t xml:space="preserve"> + </w:t>
            </w:r>
            <w:r w:rsidR="00044289" w:rsidRPr="001F3C8E">
              <w:rPr>
                <w:color w:val="auto"/>
                <w:sz w:val="20"/>
                <w:szCs w:val="20"/>
              </w:rPr>
              <w:t>40</w:t>
            </w:r>
            <w:r w:rsidRPr="001F3C8E">
              <w:rPr>
                <w:color w:val="auto"/>
                <w:sz w:val="20"/>
                <w:szCs w:val="20"/>
              </w:rPr>
              <w:t>% fringe = $</w:t>
            </w:r>
            <w:r w:rsidR="00044289" w:rsidRPr="001F3C8E">
              <w:rPr>
                <w:color w:val="auto"/>
                <w:sz w:val="20"/>
                <w:szCs w:val="20"/>
              </w:rPr>
              <w:t>3,360</w:t>
            </w:r>
            <w:r w:rsidRPr="001F3C8E">
              <w:rPr>
                <w:color w:val="auto"/>
                <w:sz w:val="20"/>
                <w:szCs w:val="20"/>
              </w:rPr>
              <w:t xml:space="preserve">); review annual reports (2h/set of reports x 2 sets = 4 </w:t>
            </w:r>
            <w:proofErr w:type="spellStart"/>
            <w:r w:rsidRPr="001F3C8E">
              <w:rPr>
                <w:color w:val="auto"/>
                <w:sz w:val="20"/>
                <w:szCs w:val="20"/>
              </w:rPr>
              <w:t>hrs</w:t>
            </w:r>
            <w:proofErr w:type="spellEnd"/>
            <w:r w:rsidRPr="001F3C8E">
              <w:rPr>
                <w:color w:val="auto"/>
                <w:sz w:val="20"/>
                <w:szCs w:val="20"/>
              </w:rPr>
              <w:t xml:space="preserve"> x $</w:t>
            </w:r>
            <w:r w:rsidR="00044289" w:rsidRPr="001F3C8E">
              <w:rPr>
                <w:color w:val="auto"/>
                <w:sz w:val="20"/>
                <w:szCs w:val="20"/>
              </w:rPr>
              <w:t>50</w:t>
            </w:r>
            <w:r w:rsidRPr="001F3C8E">
              <w:rPr>
                <w:color w:val="auto"/>
                <w:sz w:val="20"/>
                <w:szCs w:val="20"/>
              </w:rPr>
              <w:t>/</w:t>
            </w:r>
            <w:proofErr w:type="spellStart"/>
            <w:r w:rsidRPr="001F3C8E">
              <w:rPr>
                <w:color w:val="auto"/>
                <w:sz w:val="20"/>
                <w:szCs w:val="20"/>
              </w:rPr>
              <w:t>hr</w:t>
            </w:r>
            <w:proofErr w:type="spellEnd"/>
            <w:r w:rsidRPr="001F3C8E">
              <w:rPr>
                <w:color w:val="auto"/>
                <w:sz w:val="20"/>
                <w:szCs w:val="20"/>
              </w:rPr>
              <w:t xml:space="preserve"> + </w:t>
            </w:r>
            <w:r w:rsidR="00044289" w:rsidRPr="001F3C8E">
              <w:rPr>
                <w:color w:val="auto"/>
                <w:sz w:val="20"/>
                <w:szCs w:val="20"/>
              </w:rPr>
              <w:t>40</w:t>
            </w:r>
            <w:r w:rsidRPr="001F3C8E">
              <w:rPr>
                <w:color w:val="auto"/>
                <w:sz w:val="20"/>
                <w:szCs w:val="20"/>
              </w:rPr>
              <w:t>% fringe = $</w:t>
            </w:r>
            <w:r w:rsidR="00044289" w:rsidRPr="001F3C8E">
              <w:rPr>
                <w:color w:val="auto"/>
                <w:sz w:val="20"/>
                <w:szCs w:val="20"/>
              </w:rPr>
              <w:t>280</w:t>
            </w:r>
            <w:r w:rsidRPr="001F3C8E">
              <w:rPr>
                <w:color w:val="auto"/>
                <w:sz w:val="20"/>
                <w:szCs w:val="20"/>
              </w:rPr>
              <w:t xml:space="preserve">); review final report (6 </w:t>
            </w:r>
            <w:proofErr w:type="spellStart"/>
            <w:r w:rsidRPr="001F3C8E">
              <w:rPr>
                <w:color w:val="auto"/>
                <w:sz w:val="20"/>
                <w:szCs w:val="20"/>
              </w:rPr>
              <w:t>hrs</w:t>
            </w:r>
            <w:proofErr w:type="spellEnd"/>
            <w:r w:rsidRPr="001F3C8E">
              <w:rPr>
                <w:color w:val="auto"/>
                <w:sz w:val="20"/>
                <w:szCs w:val="20"/>
              </w:rPr>
              <w:t xml:space="preserve"> x $</w:t>
            </w:r>
            <w:r w:rsidR="00044289" w:rsidRPr="001F3C8E">
              <w:rPr>
                <w:color w:val="auto"/>
                <w:sz w:val="20"/>
                <w:szCs w:val="20"/>
              </w:rPr>
              <w:t>50</w:t>
            </w:r>
            <w:r w:rsidRPr="001F3C8E">
              <w:rPr>
                <w:color w:val="auto"/>
                <w:sz w:val="20"/>
                <w:szCs w:val="20"/>
              </w:rPr>
              <w:t>/</w:t>
            </w:r>
            <w:proofErr w:type="spellStart"/>
            <w:r w:rsidRPr="001F3C8E">
              <w:rPr>
                <w:color w:val="auto"/>
                <w:sz w:val="20"/>
                <w:szCs w:val="20"/>
              </w:rPr>
              <w:t>hr</w:t>
            </w:r>
            <w:proofErr w:type="spellEnd"/>
            <w:r w:rsidRPr="001F3C8E">
              <w:rPr>
                <w:color w:val="auto"/>
                <w:sz w:val="20"/>
                <w:szCs w:val="20"/>
              </w:rPr>
              <w:t xml:space="preserve"> + </w:t>
            </w:r>
            <w:r w:rsidR="00044289" w:rsidRPr="001F3C8E">
              <w:rPr>
                <w:color w:val="auto"/>
                <w:sz w:val="20"/>
                <w:szCs w:val="20"/>
              </w:rPr>
              <w:t>40</w:t>
            </w:r>
            <w:r w:rsidRPr="001F3C8E">
              <w:rPr>
                <w:color w:val="auto"/>
                <w:sz w:val="20"/>
                <w:szCs w:val="20"/>
              </w:rPr>
              <w:t>% fringe = $</w:t>
            </w:r>
            <w:r w:rsidR="00743AC8" w:rsidRPr="001F3C8E">
              <w:rPr>
                <w:color w:val="auto"/>
                <w:sz w:val="20"/>
                <w:szCs w:val="20"/>
              </w:rPr>
              <w:t>420</w:t>
            </w:r>
            <w:r w:rsidRPr="001F3C8E">
              <w:rPr>
                <w:color w:val="auto"/>
                <w:sz w:val="20"/>
                <w:szCs w:val="20"/>
              </w:rPr>
              <w:t>); financial management and reporting (</w:t>
            </w:r>
            <w:r w:rsidR="00F537DF" w:rsidRPr="001F3C8E">
              <w:rPr>
                <w:color w:val="auto"/>
                <w:sz w:val="20"/>
                <w:szCs w:val="20"/>
              </w:rPr>
              <w:t>2h</w:t>
            </w:r>
            <w:r w:rsidRPr="001F3C8E">
              <w:rPr>
                <w:color w:val="auto"/>
                <w:sz w:val="20"/>
                <w:szCs w:val="20"/>
              </w:rPr>
              <w:t>/</w:t>
            </w:r>
            <w:proofErr w:type="spellStart"/>
            <w:r w:rsidRPr="001F3C8E">
              <w:rPr>
                <w:color w:val="auto"/>
                <w:sz w:val="20"/>
                <w:szCs w:val="20"/>
              </w:rPr>
              <w:t>mo</w:t>
            </w:r>
            <w:proofErr w:type="spellEnd"/>
            <w:r w:rsidRPr="001F3C8E">
              <w:rPr>
                <w:color w:val="auto"/>
                <w:sz w:val="20"/>
                <w:szCs w:val="20"/>
              </w:rPr>
              <w:t xml:space="preserve"> x </w:t>
            </w:r>
            <w:r w:rsidR="00F537DF" w:rsidRPr="001F3C8E">
              <w:rPr>
                <w:color w:val="auto"/>
                <w:sz w:val="20"/>
                <w:szCs w:val="20"/>
              </w:rPr>
              <w:t>48</w:t>
            </w:r>
            <w:r w:rsidRPr="001F3C8E">
              <w:rPr>
                <w:color w:val="auto"/>
                <w:sz w:val="20"/>
                <w:szCs w:val="20"/>
              </w:rPr>
              <w:t xml:space="preserve"> months = 96 </w:t>
            </w:r>
            <w:proofErr w:type="spellStart"/>
            <w:r w:rsidRPr="001F3C8E">
              <w:rPr>
                <w:color w:val="auto"/>
                <w:sz w:val="20"/>
                <w:szCs w:val="20"/>
              </w:rPr>
              <w:t>hrs</w:t>
            </w:r>
            <w:proofErr w:type="spellEnd"/>
            <w:r w:rsidRPr="001F3C8E">
              <w:rPr>
                <w:color w:val="auto"/>
                <w:sz w:val="20"/>
                <w:szCs w:val="20"/>
              </w:rPr>
              <w:t xml:space="preserve"> x $</w:t>
            </w:r>
            <w:r w:rsidR="00044289" w:rsidRPr="001F3C8E">
              <w:rPr>
                <w:color w:val="auto"/>
                <w:sz w:val="20"/>
                <w:szCs w:val="20"/>
              </w:rPr>
              <w:t>50</w:t>
            </w:r>
            <w:r w:rsidRPr="001F3C8E">
              <w:rPr>
                <w:color w:val="auto"/>
                <w:sz w:val="20"/>
                <w:szCs w:val="20"/>
              </w:rPr>
              <w:t>/</w:t>
            </w:r>
            <w:proofErr w:type="spellStart"/>
            <w:r w:rsidRPr="001F3C8E">
              <w:rPr>
                <w:color w:val="auto"/>
                <w:sz w:val="20"/>
                <w:szCs w:val="20"/>
              </w:rPr>
              <w:t>hr</w:t>
            </w:r>
            <w:proofErr w:type="spellEnd"/>
            <w:r w:rsidRPr="001F3C8E">
              <w:rPr>
                <w:color w:val="auto"/>
                <w:sz w:val="20"/>
                <w:szCs w:val="20"/>
              </w:rPr>
              <w:t xml:space="preserve"> + </w:t>
            </w:r>
            <w:r w:rsidR="00044289" w:rsidRPr="001F3C8E">
              <w:rPr>
                <w:color w:val="auto"/>
                <w:sz w:val="20"/>
                <w:szCs w:val="20"/>
              </w:rPr>
              <w:t>40</w:t>
            </w:r>
            <w:r w:rsidRPr="001F3C8E">
              <w:rPr>
                <w:color w:val="auto"/>
                <w:sz w:val="20"/>
                <w:szCs w:val="20"/>
              </w:rPr>
              <w:t>% fringe = $</w:t>
            </w:r>
            <w:r w:rsidR="00F537DF" w:rsidRPr="001F3C8E">
              <w:rPr>
                <w:color w:val="auto"/>
                <w:sz w:val="20"/>
                <w:szCs w:val="20"/>
              </w:rPr>
              <w:t>3,360</w:t>
            </w:r>
            <w:r w:rsidRPr="001F3C8E">
              <w:rPr>
                <w:color w:val="auto"/>
                <w:sz w:val="20"/>
                <w:szCs w:val="20"/>
              </w:rPr>
              <w:t xml:space="preserve">); Review reports in ACRES (1h/quarter x 8 quarters = 8 </w:t>
            </w:r>
            <w:proofErr w:type="spellStart"/>
            <w:r w:rsidRPr="001F3C8E">
              <w:rPr>
                <w:color w:val="auto"/>
                <w:sz w:val="20"/>
                <w:szCs w:val="20"/>
              </w:rPr>
              <w:t>hrs</w:t>
            </w:r>
            <w:proofErr w:type="spellEnd"/>
            <w:r w:rsidRPr="001F3C8E">
              <w:rPr>
                <w:color w:val="auto"/>
                <w:sz w:val="20"/>
                <w:szCs w:val="20"/>
              </w:rPr>
              <w:t xml:space="preserve"> x $</w:t>
            </w:r>
            <w:r w:rsidR="00044289" w:rsidRPr="001F3C8E">
              <w:rPr>
                <w:color w:val="auto"/>
                <w:sz w:val="20"/>
                <w:szCs w:val="20"/>
              </w:rPr>
              <w:t>50</w:t>
            </w:r>
            <w:r w:rsidRPr="001F3C8E">
              <w:rPr>
                <w:color w:val="auto"/>
                <w:sz w:val="20"/>
                <w:szCs w:val="20"/>
              </w:rPr>
              <w:t>/</w:t>
            </w:r>
            <w:proofErr w:type="spellStart"/>
            <w:r w:rsidRPr="001F3C8E">
              <w:rPr>
                <w:color w:val="auto"/>
                <w:sz w:val="20"/>
                <w:szCs w:val="20"/>
              </w:rPr>
              <w:t>hr</w:t>
            </w:r>
            <w:proofErr w:type="spellEnd"/>
            <w:r w:rsidRPr="001F3C8E">
              <w:rPr>
                <w:color w:val="auto"/>
                <w:sz w:val="20"/>
                <w:szCs w:val="20"/>
              </w:rPr>
              <w:t xml:space="preserve"> + </w:t>
            </w:r>
            <w:r w:rsidR="00044289" w:rsidRPr="001F3C8E">
              <w:rPr>
                <w:color w:val="auto"/>
                <w:sz w:val="20"/>
                <w:szCs w:val="20"/>
              </w:rPr>
              <w:t>40</w:t>
            </w:r>
            <w:r w:rsidRPr="001F3C8E">
              <w:rPr>
                <w:color w:val="auto"/>
                <w:sz w:val="20"/>
                <w:szCs w:val="20"/>
              </w:rPr>
              <w:t>% fringe = $</w:t>
            </w:r>
            <w:r w:rsidR="00323D11" w:rsidRPr="001F3C8E">
              <w:rPr>
                <w:color w:val="auto"/>
                <w:sz w:val="20"/>
                <w:szCs w:val="20"/>
              </w:rPr>
              <w:t>5</w:t>
            </w:r>
            <w:r w:rsidR="00F537DF" w:rsidRPr="001F3C8E">
              <w:rPr>
                <w:color w:val="auto"/>
                <w:sz w:val="20"/>
                <w:szCs w:val="20"/>
              </w:rPr>
              <w:t>60</w:t>
            </w:r>
            <w:r w:rsidRPr="001F3C8E">
              <w:rPr>
                <w:color w:val="auto"/>
                <w:sz w:val="20"/>
                <w:szCs w:val="20"/>
              </w:rPr>
              <w:t xml:space="preserve">) </w:t>
            </w:r>
          </w:p>
          <w:p w14:paraId="31C04ABA" w14:textId="6901E67E" w:rsidR="00CB12B2" w:rsidRPr="001F3C8E" w:rsidRDefault="00C43FDE" w:rsidP="00B05C90">
            <w:pPr>
              <w:spacing w:after="0"/>
              <w:jc w:val="left"/>
              <w:rPr>
                <w:color w:val="auto"/>
                <w:sz w:val="20"/>
                <w:szCs w:val="20"/>
                <w:u w:val="single"/>
              </w:rPr>
            </w:pPr>
            <w:r w:rsidRPr="001F3C8E">
              <w:rPr>
                <w:color w:val="auto"/>
                <w:sz w:val="20"/>
                <w:szCs w:val="20"/>
                <w:u w:val="single"/>
              </w:rPr>
              <w:t xml:space="preserve">Travel Costs for </w:t>
            </w:r>
            <w:r w:rsidR="00832E14" w:rsidRPr="001F3C8E">
              <w:rPr>
                <w:color w:val="auto"/>
                <w:sz w:val="20"/>
                <w:szCs w:val="20"/>
                <w:u w:val="single"/>
              </w:rPr>
              <w:t xml:space="preserve">Two </w:t>
            </w:r>
            <w:r w:rsidR="008D7D55" w:rsidRPr="001F3C8E">
              <w:rPr>
                <w:color w:val="auto"/>
                <w:sz w:val="20"/>
                <w:szCs w:val="20"/>
                <w:u w:val="single"/>
              </w:rPr>
              <w:t>Mullica</w:t>
            </w:r>
            <w:r w:rsidRPr="001F3C8E">
              <w:rPr>
                <w:color w:val="auto"/>
                <w:sz w:val="20"/>
                <w:szCs w:val="20"/>
                <w:u w:val="single"/>
              </w:rPr>
              <w:t xml:space="preserve"> staff: $</w:t>
            </w:r>
            <w:r w:rsidR="00974751" w:rsidRPr="001F3C8E">
              <w:rPr>
                <w:color w:val="auto"/>
                <w:sz w:val="20"/>
                <w:szCs w:val="20"/>
                <w:u w:val="single"/>
              </w:rPr>
              <w:t>7,490</w:t>
            </w:r>
          </w:p>
          <w:p w14:paraId="0798A571" w14:textId="08F46EB5" w:rsidR="009B290E" w:rsidRPr="001F3C8E" w:rsidRDefault="009B290E" w:rsidP="00B05C90">
            <w:pPr>
              <w:spacing w:after="0"/>
              <w:jc w:val="left"/>
              <w:rPr>
                <w:color w:val="auto"/>
                <w:sz w:val="20"/>
                <w:szCs w:val="20"/>
              </w:rPr>
            </w:pPr>
            <w:r w:rsidRPr="001F3C8E">
              <w:rPr>
                <w:color w:val="auto"/>
                <w:sz w:val="20"/>
                <w:szCs w:val="20"/>
              </w:rPr>
              <w:t>National Brownfields Training Conference (1 conference, estimated at $</w:t>
            </w:r>
            <w:r w:rsidR="0025352C" w:rsidRPr="001F3C8E">
              <w:rPr>
                <w:color w:val="auto"/>
                <w:sz w:val="20"/>
                <w:szCs w:val="20"/>
              </w:rPr>
              <w:t>650</w:t>
            </w:r>
            <w:r w:rsidRPr="001F3C8E">
              <w:rPr>
                <w:color w:val="auto"/>
                <w:sz w:val="20"/>
                <w:szCs w:val="20"/>
              </w:rPr>
              <w:t xml:space="preserve"> flight + $</w:t>
            </w:r>
            <w:r w:rsidR="0025352C" w:rsidRPr="001F3C8E">
              <w:rPr>
                <w:color w:val="auto"/>
                <w:sz w:val="20"/>
                <w:szCs w:val="20"/>
              </w:rPr>
              <w:t>350</w:t>
            </w:r>
            <w:r w:rsidRPr="001F3C8E">
              <w:rPr>
                <w:color w:val="auto"/>
                <w:sz w:val="20"/>
                <w:szCs w:val="20"/>
              </w:rPr>
              <w:t xml:space="preserve"> hotel/night x </w:t>
            </w:r>
            <w:r w:rsidR="0025352C" w:rsidRPr="001F3C8E">
              <w:rPr>
                <w:color w:val="auto"/>
                <w:sz w:val="20"/>
                <w:szCs w:val="20"/>
              </w:rPr>
              <w:t>4</w:t>
            </w:r>
            <w:r w:rsidRPr="001F3C8E">
              <w:rPr>
                <w:color w:val="auto"/>
                <w:sz w:val="20"/>
                <w:szCs w:val="20"/>
              </w:rPr>
              <w:t xml:space="preserve"> nights </w:t>
            </w:r>
            <w:r w:rsidR="00395601" w:rsidRPr="001F3C8E">
              <w:rPr>
                <w:color w:val="auto"/>
                <w:sz w:val="20"/>
                <w:szCs w:val="20"/>
              </w:rPr>
              <w:t>+</w:t>
            </w:r>
            <w:r w:rsidRPr="001F3C8E">
              <w:rPr>
                <w:color w:val="auto"/>
                <w:sz w:val="20"/>
                <w:szCs w:val="20"/>
              </w:rPr>
              <w:t xml:space="preserve"> lodging + $</w:t>
            </w:r>
            <w:r w:rsidR="00743AC8" w:rsidRPr="001F3C8E">
              <w:rPr>
                <w:color w:val="auto"/>
                <w:sz w:val="20"/>
                <w:szCs w:val="20"/>
              </w:rPr>
              <w:t>75</w:t>
            </w:r>
            <w:r w:rsidR="0025352C" w:rsidRPr="001F3C8E">
              <w:rPr>
                <w:color w:val="auto"/>
                <w:sz w:val="20"/>
                <w:szCs w:val="20"/>
              </w:rPr>
              <w:t xml:space="preserve"> </w:t>
            </w:r>
            <w:r w:rsidRPr="001F3C8E">
              <w:rPr>
                <w:color w:val="auto"/>
                <w:sz w:val="20"/>
                <w:szCs w:val="20"/>
              </w:rPr>
              <w:t xml:space="preserve">day </w:t>
            </w:r>
            <w:r w:rsidR="00E17FCE">
              <w:rPr>
                <w:color w:val="auto"/>
                <w:sz w:val="20"/>
                <w:szCs w:val="20"/>
              </w:rPr>
              <w:t>Meals, Incidentals, and Expenses (</w:t>
            </w:r>
            <w:r w:rsidRPr="001F3C8E">
              <w:rPr>
                <w:color w:val="auto"/>
                <w:sz w:val="20"/>
                <w:szCs w:val="20"/>
              </w:rPr>
              <w:t>MIE</w:t>
            </w:r>
            <w:r w:rsidR="00E17FCE">
              <w:rPr>
                <w:color w:val="auto"/>
                <w:sz w:val="20"/>
                <w:szCs w:val="20"/>
              </w:rPr>
              <w:t>)</w:t>
            </w:r>
            <w:r w:rsidRPr="001F3C8E">
              <w:rPr>
                <w:color w:val="auto"/>
                <w:sz w:val="20"/>
                <w:szCs w:val="20"/>
              </w:rPr>
              <w:t xml:space="preserve"> x </w:t>
            </w:r>
            <w:r w:rsidR="0025352C" w:rsidRPr="001F3C8E">
              <w:rPr>
                <w:color w:val="auto"/>
                <w:sz w:val="20"/>
                <w:szCs w:val="20"/>
              </w:rPr>
              <w:t>4</w:t>
            </w:r>
            <w:r w:rsidRPr="001F3C8E">
              <w:rPr>
                <w:color w:val="auto"/>
                <w:sz w:val="20"/>
                <w:szCs w:val="20"/>
              </w:rPr>
              <w:t xml:space="preserve"> days = $</w:t>
            </w:r>
            <w:r w:rsidR="00743AC8" w:rsidRPr="001F3C8E">
              <w:rPr>
                <w:color w:val="auto"/>
                <w:sz w:val="20"/>
                <w:szCs w:val="20"/>
              </w:rPr>
              <w:t>300</w:t>
            </w:r>
            <w:r w:rsidR="0025352C" w:rsidRPr="001F3C8E">
              <w:rPr>
                <w:color w:val="auto"/>
                <w:sz w:val="20"/>
                <w:szCs w:val="20"/>
              </w:rPr>
              <w:t xml:space="preserve"> </w:t>
            </w:r>
            <w:r w:rsidRPr="001F3C8E">
              <w:rPr>
                <w:color w:val="auto"/>
                <w:sz w:val="20"/>
                <w:szCs w:val="20"/>
              </w:rPr>
              <w:t>MIE + $300 registration) = $</w:t>
            </w:r>
            <w:r w:rsidR="0025352C" w:rsidRPr="001F3C8E">
              <w:rPr>
                <w:color w:val="auto"/>
                <w:sz w:val="20"/>
                <w:szCs w:val="20"/>
              </w:rPr>
              <w:t>2,</w:t>
            </w:r>
            <w:r w:rsidR="00743AC8" w:rsidRPr="001F3C8E">
              <w:rPr>
                <w:color w:val="auto"/>
                <w:sz w:val="20"/>
                <w:szCs w:val="20"/>
              </w:rPr>
              <w:t>650</w:t>
            </w:r>
            <w:r w:rsidRPr="001F3C8E">
              <w:rPr>
                <w:color w:val="auto"/>
                <w:sz w:val="20"/>
                <w:szCs w:val="20"/>
              </w:rPr>
              <w:t xml:space="preserve">/person x </w:t>
            </w:r>
            <w:r w:rsidR="0025352C" w:rsidRPr="001F3C8E">
              <w:rPr>
                <w:color w:val="auto"/>
                <w:sz w:val="20"/>
                <w:szCs w:val="20"/>
              </w:rPr>
              <w:t>2</w:t>
            </w:r>
            <w:r w:rsidRPr="001F3C8E">
              <w:rPr>
                <w:color w:val="auto"/>
                <w:sz w:val="20"/>
                <w:szCs w:val="20"/>
              </w:rPr>
              <w:t xml:space="preserve"> people = $</w:t>
            </w:r>
            <w:r w:rsidR="00743AC8" w:rsidRPr="001F3C8E">
              <w:rPr>
                <w:color w:val="auto"/>
                <w:sz w:val="20"/>
                <w:szCs w:val="20"/>
              </w:rPr>
              <w:t>5,300</w:t>
            </w:r>
            <w:r w:rsidRPr="001F3C8E">
              <w:rPr>
                <w:color w:val="auto"/>
                <w:sz w:val="20"/>
                <w:szCs w:val="20"/>
              </w:rPr>
              <w:t xml:space="preserve">) </w:t>
            </w:r>
            <w:r w:rsidR="00E17FCE">
              <w:rPr>
                <w:color w:val="auto"/>
                <w:sz w:val="20"/>
                <w:szCs w:val="20"/>
              </w:rPr>
              <w:t xml:space="preserve">| </w:t>
            </w:r>
            <w:r w:rsidRPr="001F3C8E">
              <w:rPr>
                <w:color w:val="auto"/>
                <w:sz w:val="20"/>
                <w:szCs w:val="20"/>
              </w:rPr>
              <w:t>Regional Brownfields Conference (Estimated at $</w:t>
            </w:r>
            <w:r w:rsidR="00743AC8" w:rsidRPr="001F3C8E">
              <w:rPr>
                <w:color w:val="auto"/>
                <w:sz w:val="20"/>
                <w:szCs w:val="20"/>
              </w:rPr>
              <w:t xml:space="preserve">290 </w:t>
            </w:r>
            <w:r w:rsidRPr="001F3C8E">
              <w:rPr>
                <w:color w:val="auto"/>
                <w:sz w:val="20"/>
                <w:szCs w:val="20"/>
              </w:rPr>
              <w:t xml:space="preserve">for </w:t>
            </w:r>
            <w:r w:rsidR="00552BA3" w:rsidRPr="001F3C8E">
              <w:rPr>
                <w:color w:val="auto"/>
                <w:sz w:val="20"/>
                <w:szCs w:val="20"/>
              </w:rPr>
              <w:t>210</w:t>
            </w:r>
            <w:r w:rsidRPr="001F3C8E">
              <w:rPr>
                <w:color w:val="auto"/>
                <w:sz w:val="20"/>
                <w:szCs w:val="20"/>
              </w:rPr>
              <w:t xml:space="preserve"> miles roundtrip + $</w:t>
            </w:r>
            <w:r w:rsidR="00743AC8" w:rsidRPr="001F3C8E">
              <w:rPr>
                <w:color w:val="auto"/>
                <w:sz w:val="20"/>
                <w:szCs w:val="20"/>
              </w:rPr>
              <w:t>300</w:t>
            </w:r>
            <w:r w:rsidRPr="001F3C8E">
              <w:rPr>
                <w:color w:val="auto"/>
                <w:sz w:val="20"/>
                <w:szCs w:val="20"/>
              </w:rPr>
              <w:t xml:space="preserve"> hotel/night x 2 nights = $</w:t>
            </w:r>
            <w:r w:rsidR="00743AC8" w:rsidRPr="001F3C8E">
              <w:rPr>
                <w:color w:val="auto"/>
                <w:sz w:val="20"/>
                <w:szCs w:val="20"/>
              </w:rPr>
              <w:t>600</w:t>
            </w:r>
            <w:r w:rsidRPr="001F3C8E">
              <w:rPr>
                <w:color w:val="auto"/>
                <w:sz w:val="20"/>
                <w:szCs w:val="20"/>
              </w:rPr>
              <w:t xml:space="preserve"> lodging + $</w:t>
            </w:r>
            <w:r w:rsidR="00743AC8" w:rsidRPr="001F3C8E">
              <w:rPr>
                <w:color w:val="auto"/>
                <w:sz w:val="20"/>
                <w:szCs w:val="20"/>
              </w:rPr>
              <w:t>75</w:t>
            </w:r>
            <w:r w:rsidRPr="001F3C8E">
              <w:rPr>
                <w:color w:val="auto"/>
                <w:sz w:val="20"/>
                <w:szCs w:val="20"/>
              </w:rPr>
              <w:t>/day MIE x 2 days = $</w:t>
            </w:r>
            <w:r w:rsidR="00743AC8" w:rsidRPr="001F3C8E">
              <w:rPr>
                <w:color w:val="auto"/>
                <w:sz w:val="20"/>
                <w:szCs w:val="20"/>
              </w:rPr>
              <w:t>150</w:t>
            </w:r>
            <w:r w:rsidRPr="001F3C8E">
              <w:rPr>
                <w:color w:val="auto"/>
                <w:sz w:val="20"/>
                <w:szCs w:val="20"/>
              </w:rPr>
              <w:t xml:space="preserve"> MIE +$</w:t>
            </w:r>
            <w:r w:rsidR="00552BA3" w:rsidRPr="001F3C8E">
              <w:rPr>
                <w:color w:val="auto"/>
                <w:sz w:val="20"/>
                <w:szCs w:val="20"/>
              </w:rPr>
              <w:t>210</w:t>
            </w:r>
            <w:r w:rsidR="00743AC8" w:rsidRPr="001F3C8E">
              <w:rPr>
                <w:color w:val="auto"/>
                <w:sz w:val="20"/>
                <w:szCs w:val="20"/>
              </w:rPr>
              <w:t xml:space="preserve"> </w:t>
            </w:r>
            <w:r w:rsidRPr="001F3C8E">
              <w:rPr>
                <w:color w:val="auto"/>
                <w:sz w:val="20"/>
                <w:szCs w:val="20"/>
              </w:rPr>
              <w:t>registration = $</w:t>
            </w:r>
            <w:r w:rsidR="00743AC8" w:rsidRPr="001F3C8E">
              <w:rPr>
                <w:color w:val="auto"/>
                <w:sz w:val="20"/>
                <w:szCs w:val="20"/>
              </w:rPr>
              <w:t>1,240</w:t>
            </w:r>
            <w:r w:rsidRPr="001F3C8E">
              <w:rPr>
                <w:color w:val="auto"/>
                <w:sz w:val="20"/>
                <w:szCs w:val="20"/>
              </w:rPr>
              <w:t xml:space="preserve">/conference x </w:t>
            </w:r>
            <w:r w:rsidR="00743AC8" w:rsidRPr="001F3C8E">
              <w:rPr>
                <w:color w:val="auto"/>
                <w:sz w:val="20"/>
                <w:szCs w:val="20"/>
              </w:rPr>
              <w:t>1</w:t>
            </w:r>
            <w:r w:rsidRPr="001F3C8E">
              <w:rPr>
                <w:color w:val="auto"/>
                <w:sz w:val="20"/>
                <w:szCs w:val="20"/>
              </w:rPr>
              <w:t xml:space="preserve"> conference x </w:t>
            </w:r>
            <w:r w:rsidR="00743AC8" w:rsidRPr="001F3C8E">
              <w:rPr>
                <w:color w:val="auto"/>
                <w:sz w:val="20"/>
                <w:szCs w:val="20"/>
              </w:rPr>
              <w:t>2</w:t>
            </w:r>
            <w:r w:rsidRPr="001F3C8E">
              <w:rPr>
                <w:color w:val="auto"/>
                <w:sz w:val="20"/>
                <w:szCs w:val="20"/>
              </w:rPr>
              <w:t xml:space="preserve"> people/conference = $</w:t>
            </w:r>
            <w:r w:rsidR="00A10C99" w:rsidRPr="001F3C8E">
              <w:rPr>
                <w:color w:val="auto"/>
                <w:sz w:val="20"/>
                <w:szCs w:val="20"/>
              </w:rPr>
              <w:t>2,190</w:t>
            </w:r>
            <w:r w:rsidRPr="001F3C8E">
              <w:rPr>
                <w:color w:val="auto"/>
                <w:sz w:val="20"/>
                <w:szCs w:val="20"/>
              </w:rPr>
              <w:t xml:space="preserve">) </w:t>
            </w:r>
          </w:p>
          <w:p w14:paraId="6D852999" w14:textId="4BE6966A" w:rsidR="009B290E" w:rsidRPr="001F3C8E" w:rsidRDefault="009B290E" w:rsidP="00B05C90">
            <w:pPr>
              <w:spacing w:after="0"/>
              <w:jc w:val="left"/>
              <w:rPr>
                <w:color w:val="auto"/>
                <w:sz w:val="20"/>
                <w:szCs w:val="20"/>
                <w:u w:val="single"/>
              </w:rPr>
            </w:pPr>
            <w:r w:rsidRPr="001F3C8E">
              <w:rPr>
                <w:color w:val="auto"/>
                <w:sz w:val="20"/>
                <w:szCs w:val="20"/>
                <w:u w:val="single"/>
              </w:rPr>
              <w:t>Contractual Costs: $</w:t>
            </w:r>
            <w:r w:rsidR="00974751" w:rsidRPr="001F3C8E">
              <w:rPr>
                <w:color w:val="auto"/>
                <w:sz w:val="20"/>
                <w:szCs w:val="20"/>
                <w:u w:val="single"/>
              </w:rPr>
              <w:t>30,240</w:t>
            </w:r>
          </w:p>
          <w:p w14:paraId="5B4FD350" w14:textId="456B6809" w:rsidR="009B290E" w:rsidRPr="00104202" w:rsidRDefault="009B290E" w:rsidP="001F3C8E">
            <w:pPr>
              <w:spacing w:after="0"/>
              <w:jc w:val="left"/>
              <w:rPr>
                <w:color w:val="auto"/>
                <w:sz w:val="20"/>
                <w:szCs w:val="20"/>
                <w:highlight w:val="yellow"/>
              </w:rPr>
            </w:pPr>
            <w:r w:rsidRPr="001F3C8E">
              <w:rPr>
                <w:color w:val="auto"/>
                <w:sz w:val="20"/>
                <w:szCs w:val="20"/>
              </w:rPr>
              <w:t>24 monthly project team meetings (24 months x $2</w:t>
            </w:r>
            <w:r w:rsidR="00552BA3" w:rsidRPr="001F3C8E">
              <w:rPr>
                <w:color w:val="auto"/>
                <w:sz w:val="20"/>
                <w:szCs w:val="20"/>
              </w:rPr>
              <w:t>10</w:t>
            </w:r>
            <w:r w:rsidRPr="001F3C8E">
              <w:rPr>
                <w:color w:val="auto"/>
                <w:sz w:val="20"/>
                <w:szCs w:val="20"/>
              </w:rPr>
              <w:t>/</w:t>
            </w:r>
            <w:proofErr w:type="spellStart"/>
            <w:r w:rsidRPr="001F3C8E">
              <w:rPr>
                <w:color w:val="auto"/>
                <w:sz w:val="20"/>
                <w:szCs w:val="20"/>
              </w:rPr>
              <w:t>hr</w:t>
            </w:r>
            <w:proofErr w:type="spellEnd"/>
            <w:r w:rsidRPr="001F3C8E">
              <w:rPr>
                <w:color w:val="auto"/>
                <w:sz w:val="20"/>
                <w:szCs w:val="20"/>
              </w:rPr>
              <w:t xml:space="preserve"> x </w:t>
            </w:r>
            <w:r w:rsidR="00552BA3" w:rsidRPr="001F3C8E">
              <w:rPr>
                <w:color w:val="auto"/>
                <w:sz w:val="20"/>
                <w:szCs w:val="20"/>
              </w:rPr>
              <w:t>2</w:t>
            </w:r>
            <w:r w:rsidRPr="001F3C8E">
              <w:rPr>
                <w:color w:val="auto"/>
                <w:sz w:val="20"/>
                <w:szCs w:val="20"/>
              </w:rPr>
              <w:t xml:space="preserve"> </w:t>
            </w:r>
            <w:proofErr w:type="spellStart"/>
            <w:r w:rsidRPr="001F3C8E">
              <w:rPr>
                <w:color w:val="auto"/>
                <w:sz w:val="20"/>
                <w:szCs w:val="20"/>
              </w:rPr>
              <w:t>hr</w:t>
            </w:r>
            <w:proofErr w:type="spellEnd"/>
            <w:r w:rsidRPr="001F3C8E">
              <w:rPr>
                <w:color w:val="auto"/>
                <w:sz w:val="20"/>
                <w:szCs w:val="20"/>
              </w:rPr>
              <w:t>/meeting = $</w:t>
            </w:r>
            <w:r w:rsidR="00552BA3" w:rsidRPr="001F3C8E">
              <w:rPr>
                <w:color w:val="auto"/>
                <w:sz w:val="20"/>
                <w:szCs w:val="20"/>
              </w:rPr>
              <w:t>10,080</w:t>
            </w:r>
            <w:r w:rsidRPr="001F3C8E">
              <w:rPr>
                <w:color w:val="auto"/>
                <w:sz w:val="20"/>
                <w:szCs w:val="20"/>
              </w:rPr>
              <w:t>); 8 quarterly reports (8 reports x $</w:t>
            </w:r>
            <w:r w:rsidR="00552BA3" w:rsidRPr="001F3C8E">
              <w:rPr>
                <w:color w:val="auto"/>
                <w:sz w:val="20"/>
                <w:szCs w:val="20"/>
              </w:rPr>
              <w:t>210</w:t>
            </w:r>
            <w:r w:rsidRPr="001F3C8E">
              <w:rPr>
                <w:color w:val="auto"/>
                <w:sz w:val="20"/>
                <w:szCs w:val="20"/>
              </w:rPr>
              <w:t>/</w:t>
            </w:r>
            <w:proofErr w:type="spellStart"/>
            <w:r w:rsidRPr="001F3C8E">
              <w:rPr>
                <w:color w:val="auto"/>
                <w:sz w:val="20"/>
                <w:szCs w:val="20"/>
              </w:rPr>
              <w:t>hr</w:t>
            </w:r>
            <w:proofErr w:type="spellEnd"/>
            <w:r w:rsidRPr="001F3C8E">
              <w:rPr>
                <w:color w:val="auto"/>
                <w:sz w:val="20"/>
                <w:szCs w:val="20"/>
              </w:rPr>
              <w:t xml:space="preserve"> x </w:t>
            </w:r>
            <w:r w:rsidR="00552BA3" w:rsidRPr="001F3C8E">
              <w:rPr>
                <w:color w:val="auto"/>
                <w:sz w:val="20"/>
                <w:szCs w:val="20"/>
              </w:rPr>
              <w:t>4</w:t>
            </w:r>
            <w:r w:rsidRPr="001F3C8E">
              <w:rPr>
                <w:color w:val="auto"/>
                <w:sz w:val="20"/>
                <w:szCs w:val="20"/>
              </w:rPr>
              <w:t xml:space="preserve"> </w:t>
            </w:r>
            <w:proofErr w:type="spellStart"/>
            <w:r w:rsidRPr="001F3C8E">
              <w:rPr>
                <w:color w:val="auto"/>
                <w:sz w:val="20"/>
                <w:szCs w:val="20"/>
              </w:rPr>
              <w:t>hrs</w:t>
            </w:r>
            <w:proofErr w:type="spellEnd"/>
            <w:r w:rsidRPr="001F3C8E">
              <w:rPr>
                <w:color w:val="auto"/>
                <w:sz w:val="20"/>
                <w:szCs w:val="20"/>
              </w:rPr>
              <w:t xml:space="preserve"> = $</w:t>
            </w:r>
            <w:r w:rsidR="00552BA3" w:rsidRPr="001F3C8E">
              <w:rPr>
                <w:color w:val="auto"/>
                <w:sz w:val="20"/>
                <w:szCs w:val="20"/>
              </w:rPr>
              <w:t>6,720</w:t>
            </w:r>
            <w:r w:rsidRPr="001F3C8E">
              <w:rPr>
                <w:color w:val="auto"/>
                <w:sz w:val="20"/>
                <w:szCs w:val="20"/>
              </w:rPr>
              <w:t xml:space="preserve">); Annual </w:t>
            </w:r>
            <w:r w:rsidR="006B3FE9" w:rsidRPr="001F3C8E">
              <w:rPr>
                <w:color w:val="auto"/>
                <w:sz w:val="20"/>
                <w:szCs w:val="20"/>
              </w:rPr>
              <w:t>Fede</w:t>
            </w:r>
            <w:r w:rsidR="00E62D88">
              <w:rPr>
                <w:color w:val="auto"/>
                <w:sz w:val="20"/>
                <w:szCs w:val="20"/>
              </w:rPr>
              <w:t>r</w:t>
            </w:r>
            <w:r w:rsidR="00DC0DE7" w:rsidRPr="001F3C8E">
              <w:rPr>
                <w:color w:val="auto"/>
                <w:sz w:val="20"/>
                <w:szCs w:val="20"/>
              </w:rPr>
              <w:t xml:space="preserve">al Financial </w:t>
            </w:r>
            <w:r w:rsidR="00050DAA" w:rsidRPr="001F3C8E">
              <w:rPr>
                <w:color w:val="auto"/>
                <w:sz w:val="20"/>
                <w:szCs w:val="20"/>
              </w:rPr>
              <w:t xml:space="preserve">Reports </w:t>
            </w:r>
            <w:r w:rsidR="00457CA1" w:rsidRPr="001F3C8E">
              <w:rPr>
                <w:color w:val="auto"/>
                <w:sz w:val="20"/>
                <w:szCs w:val="20"/>
              </w:rPr>
              <w:t>(</w:t>
            </w:r>
            <w:r w:rsidR="00552BA3" w:rsidRPr="001F3C8E">
              <w:rPr>
                <w:color w:val="auto"/>
                <w:sz w:val="20"/>
                <w:szCs w:val="20"/>
              </w:rPr>
              <w:t>8</w:t>
            </w:r>
            <w:r w:rsidRPr="001F3C8E">
              <w:rPr>
                <w:color w:val="auto"/>
                <w:sz w:val="20"/>
                <w:szCs w:val="20"/>
              </w:rPr>
              <w:t>h/year x 2 years x $</w:t>
            </w:r>
            <w:r w:rsidR="00552BA3" w:rsidRPr="001F3C8E">
              <w:rPr>
                <w:color w:val="auto"/>
                <w:sz w:val="20"/>
                <w:szCs w:val="20"/>
              </w:rPr>
              <w:t>210</w:t>
            </w:r>
            <w:r w:rsidRPr="001F3C8E">
              <w:rPr>
                <w:color w:val="auto"/>
                <w:sz w:val="20"/>
                <w:szCs w:val="20"/>
              </w:rPr>
              <w:t>/</w:t>
            </w:r>
            <w:proofErr w:type="spellStart"/>
            <w:r w:rsidRPr="001F3C8E">
              <w:rPr>
                <w:color w:val="auto"/>
                <w:sz w:val="20"/>
                <w:szCs w:val="20"/>
              </w:rPr>
              <w:t>hr</w:t>
            </w:r>
            <w:proofErr w:type="spellEnd"/>
            <w:r w:rsidRPr="001F3C8E">
              <w:rPr>
                <w:color w:val="auto"/>
                <w:sz w:val="20"/>
                <w:szCs w:val="20"/>
              </w:rPr>
              <w:t xml:space="preserve"> = $</w:t>
            </w:r>
            <w:r w:rsidR="00552BA3" w:rsidRPr="001F3C8E">
              <w:rPr>
                <w:color w:val="auto"/>
                <w:sz w:val="20"/>
                <w:szCs w:val="20"/>
              </w:rPr>
              <w:t>3,360</w:t>
            </w:r>
            <w:r w:rsidRPr="001F3C8E">
              <w:rPr>
                <w:color w:val="auto"/>
                <w:sz w:val="20"/>
                <w:szCs w:val="20"/>
              </w:rPr>
              <w:t>); 1 final summary report ($</w:t>
            </w:r>
            <w:r w:rsidR="00552BA3" w:rsidRPr="001F3C8E">
              <w:rPr>
                <w:color w:val="auto"/>
                <w:sz w:val="20"/>
                <w:szCs w:val="20"/>
              </w:rPr>
              <w:t>210</w:t>
            </w:r>
            <w:proofErr w:type="gramStart"/>
            <w:r w:rsidRPr="001F3C8E">
              <w:rPr>
                <w:color w:val="auto"/>
                <w:sz w:val="20"/>
                <w:szCs w:val="20"/>
              </w:rPr>
              <w:t>/</w:t>
            </w:r>
            <w:proofErr w:type="spellStart"/>
            <w:r w:rsidRPr="001F3C8E">
              <w:rPr>
                <w:color w:val="auto"/>
                <w:sz w:val="20"/>
                <w:szCs w:val="20"/>
              </w:rPr>
              <w:t>hr</w:t>
            </w:r>
            <w:proofErr w:type="spellEnd"/>
            <w:r w:rsidRPr="001F3C8E">
              <w:rPr>
                <w:color w:val="auto"/>
                <w:sz w:val="20"/>
                <w:szCs w:val="20"/>
              </w:rPr>
              <w:t xml:space="preserve"> x </w:t>
            </w:r>
            <w:r w:rsidR="00974751" w:rsidRPr="001F3C8E">
              <w:rPr>
                <w:color w:val="auto"/>
                <w:sz w:val="20"/>
                <w:szCs w:val="20"/>
              </w:rPr>
              <w:t>16</w:t>
            </w:r>
            <w:r w:rsidRPr="001F3C8E">
              <w:rPr>
                <w:color w:val="auto"/>
                <w:sz w:val="20"/>
                <w:szCs w:val="20"/>
              </w:rPr>
              <w:t xml:space="preserve"> </w:t>
            </w:r>
            <w:proofErr w:type="spellStart"/>
            <w:proofErr w:type="gramEnd"/>
            <w:r w:rsidRPr="001F3C8E">
              <w:rPr>
                <w:color w:val="auto"/>
                <w:sz w:val="20"/>
                <w:szCs w:val="20"/>
              </w:rPr>
              <w:t>hr</w:t>
            </w:r>
            <w:proofErr w:type="spellEnd"/>
            <w:r w:rsidRPr="001F3C8E">
              <w:rPr>
                <w:color w:val="auto"/>
                <w:sz w:val="20"/>
                <w:szCs w:val="20"/>
              </w:rPr>
              <w:t xml:space="preserve"> = $</w:t>
            </w:r>
            <w:r w:rsidR="00974751" w:rsidRPr="001F3C8E">
              <w:rPr>
                <w:color w:val="auto"/>
                <w:sz w:val="20"/>
                <w:szCs w:val="20"/>
              </w:rPr>
              <w:t>3,360</w:t>
            </w:r>
            <w:r w:rsidRPr="001F3C8E">
              <w:rPr>
                <w:color w:val="auto"/>
                <w:sz w:val="20"/>
                <w:szCs w:val="20"/>
              </w:rPr>
              <w:t>); ACRES updates (8 quarterly updates x $</w:t>
            </w:r>
            <w:r w:rsidR="00552BA3" w:rsidRPr="001F3C8E">
              <w:rPr>
                <w:color w:val="auto"/>
                <w:sz w:val="20"/>
                <w:szCs w:val="20"/>
              </w:rPr>
              <w:t>210</w:t>
            </w:r>
            <w:r w:rsidRPr="001F3C8E">
              <w:rPr>
                <w:color w:val="auto"/>
                <w:sz w:val="20"/>
                <w:szCs w:val="20"/>
              </w:rPr>
              <w:t>/</w:t>
            </w:r>
            <w:proofErr w:type="spellStart"/>
            <w:r w:rsidRPr="001F3C8E">
              <w:rPr>
                <w:color w:val="auto"/>
                <w:sz w:val="20"/>
                <w:szCs w:val="20"/>
              </w:rPr>
              <w:t>hr</w:t>
            </w:r>
            <w:proofErr w:type="spellEnd"/>
            <w:r w:rsidRPr="001F3C8E">
              <w:rPr>
                <w:color w:val="auto"/>
                <w:sz w:val="20"/>
                <w:szCs w:val="20"/>
              </w:rPr>
              <w:t xml:space="preserve"> x </w:t>
            </w:r>
            <w:r w:rsidR="00974751" w:rsidRPr="001F3C8E">
              <w:rPr>
                <w:color w:val="auto"/>
                <w:sz w:val="20"/>
                <w:szCs w:val="20"/>
              </w:rPr>
              <w:t>4</w:t>
            </w:r>
            <w:r w:rsidRPr="001F3C8E">
              <w:rPr>
                <w:color w:val="auto"/>
                <w:sz w:val="20"/>
                <w:szCs w:val="20"/>
              </w:rPr>
              <w:t xml:space="preserve"> </w:t>
            </w:r>
            <w:proofErr w:type="spellStart"/>
            <w:r w:rsidRPr="001F3C8E">
              <w:rPr>
                <w:color w:val="auto"/>
                <w:sz w:val="20"/>
                <w:szCs w:val="20"/>
              </w:rPr>
              <w:t>hr</w:t>
            </w:r>
            <w:proofErr w:type="spellEnd"/>
            <w:r w:rsidRPr="001F3C8E">
              <w:rPr>
                <w:color w:val="auto"/>
                <w:sz w:val="20"/>
                <w:szCs w:val="20"/>
              </w:rPr>
              <w:t xml:space="preserve"> = $</w:t>
            </w:r>
            <w:r w:rsidR="00974751" w:rsidRPr="001F3C8E">
              <w:rPr>
                <w:color w:val="auto"/>
                <w:sz w:val="20"/>
                <w:szCs w:val="20"/>
              </w:rPr>
              <w:t>6,720</w:t>
            </w:r>
            <w:r w:rsidRPr="001F3C8E">
              <w:rPr>
                <w:color w:val="auto"/>
                <w:sz w:val="20"/>
                <w:szCs w:val="20"/>
              </w:rPr>
              <w:t>)</w:t>
            </w:r>
          </w:p>
        </w:tc>
      </w:tr>
      <w:tr w:rsidR="000154B4" w:rsidRPr="00BD6E47" w14:paraId="3A67FF16" w14:textId="77777777" w:rsidTr="001F3C8E">
        <w:trPr>
          <w:trHeight w:val="521"/>
          <w:jc w:val="center"/>
        </w:trPr>
        <w:tc>
          <w:tcPr>
            <w:tcW w:w="1255" w:type="dxa"/>
            <w:vAlign w:val="center"/>
          </w:tcPr>
          <w:p w14:paraId="352FA1C2" w14:textId="69BD78A6" w:rsidR="00CB12B2" w:rsidRPr="00104202" w:rsidRDefault="000154B4" w:rsidP="00F53780">
            <w:pPr>
              <w:jc w:val="left"/>
              <w:rPr>
                <w:b/>
                <w:bCs/>
                <w:sz w:val="20"/>
                <w:szCs w:val="20"/>
              </w:rPr>
            </w:pPr>
            <w:r w:rsidRPr="00104202">
              <w:rPr>
                <w:b/>
                <w:bCs/>
                <w:sz w:val="20"/>
                <w:szCs w:val="20"/>
              </w:rPr>
              <w:lastRenderedPageBreak/>
              <w:t>2. Community Outreach</w:t>
            </w:r>
          </w:p>
        </w:tc>
        <w:tc>
          <w:tcPr>
            <w:tcW w:w="10175" w:type="dxa"/>
            <w:vAlign w:val="center"/>
          </w:tcPr>
          <w:p w14:paraId="2016B715" w14:textId="7A478A75" w:rsidR="00236A23" w:rsidRPr="001F3C8E" w:rsidRDefault="00BC740A" w:rsidP="001F3C8E">
            <w:pPr>
              <w:spacing w:after="0"/>
              <w:jc w:val="left"/>
              <w:rPr>
                <w:sz w:val="20"/>
                <w:szCs w:val="20"/>
                <w:u w:val="single"/>
              </w:rPr>
            </w:pPr>
            <w:r w:rsidRPr="001F3C8E">
              <w:rPr>
                <w:sz w:val="20"/>
                <w:szCs w:val="20"/>
                <w:u w:val="single"/>
              </w:rPr>
              <w:t>P</w:t>
            </w:r>
            <w:r w:rsidR="00236A23" w:rsidRPr="001F3C8E">
              <w:rPr>
                <w:sz w:val="20"/>
                <w:szCs w:val="20"/>
                <w:u w:val="single"/>
              </w:rPr>
              <w:t>ersonnel and Fringe Total = $</w:t>
            </w:r>
            <w:r w:rsidR="00332EDE" w:rsidRPr="001F3C8E">
              <w:rPr>
                <w:sz w:val="20"/>
                <w:szCs w:val="20"/>
                <w:u w:val="single"/>
              </w:rPr>
              <w:t>9,800</w:t>
            </w:r>
            <w:r w:rsidR="00236A23" w:rsidRPr="001F3C8E">
              <w:rPr>
                <w:sz w:val="20"/>
                <w:szCs w:val="20"/>
                <w:u w:val="single"/>
              </w:rPr>
              <w:t xml:space="preserve"> (Personnel = $</w:t>
            </w:r>
            <w:r w:rsidR="00332EDE" w:rsidRPr="001F3C8E">
              <w:rPr>
                <w:sz w:val="20"/>
                <w:szCs w:val="20"/>
                <w:u w:val="single"/>
              </w:rPr>
              <w:t>7,000</w:t>
            </w:r>
            <w:r w:rsidR="00236A23" w:rsidRPr="001F3C8E">
              <w:rPr>
                <w:sz w:val="20"/>
                <w:szCs w:val="20"/>
                <w:u w:val="single"/>
              </w:rPr>
              <w:t xml:space="preserve"> + Fringe </w:t>
            </w:r>
            <w:r w:rsidR="0074788D" w:rsidRPr="001F3C8E">
              <w:rPr>
                <w:sz w:val="20"/>
                <w:szCs w:val="20"/>
                <w:u w:val="single"/>
              </w:rPr>
              <w:t>[</w:t>
            </w:r>
            <w:r w:rsidR="00044289" w:rsidRPr="001F3C8E">
              <w:rPr>
                <w:sz w:val="20"/>
                <w:szCs w:val="20"/>
                <w:u w:val="single"/>
              </w:rPr>
              <w:t>40</w:t>
            </w:r>
            <w:r w:rsidR="00236A23" w:rsidRPr="001F3C8E">
              <w:rPr>
                <w:sz w:val="20"/>
                <w:szCs w:val="20"/>
                <w:u w:val="single"/>
              </w:rPr>
              <w:t>%</w:t>
            </w:r>
            <w:r w:rsidR="0074788D" w:rsidRPr="001F3C8E">
              <w:rPr>
                <w:sz w:val="20"/>
                <w:szCs w:val="20"/>
                <w:u w:val="single"/>
              </w:rPr>
              <w:t>]</w:t>
            </w:r>
            <w:r w:rsidR="00236A23" w:rsidRPr="001F3C8E">
              <w:rPr>
                <w:sz w:val="20"/>
                <w:szCs w:val="20"/>
                <w:u w:val="single"/>
              </w:rPr>
              <w:t xml:space="preserve"> = $</w:t>
            </w:r>
            <w:r w:rsidR="00332EDE" w:rsidRPr="001F3C8E">
              <w:rPr>
                <w:sz w:val="20"/>
                <w:szCs w:val="20"/>
                <w:u w:val="single"/>
              </w:rPr>
              <w:t>2,800</w:t>
            </w:r>
            <w:r w:rsidR="00236A23" w:rsidRPr="001F3C8E">
              <w:rPr>
                <w:sz w:val="20"/>
                <w:szCs w:val="20"/>
                <w:u w:val="single"/>
              </w:rPr>
              <w:t>)</w:t>
            </w:r>
          </w:p>
          <w:p w14:paraId="56A77A94" w14:textId="2C4F6D7E" w:rsidR="00236A23" w:rsidRPr="001F3C8E" w:rsidRDefault="00236A23" w:rsidP="001F3C8E">
            <w:pPr>
              <w:spacing w:after="0"/>
              <w:jc w:val="left"/>
              <w:rPr>
                <w:sz w:val="20"/>
                <w:szCs w:val="20"/>
              </w:rPr>
            </w:pPr>
            <w:r w:rsidRPr="00104202">
              <w:rPr>
                <w:sz w:val="20"/>
                <w:szCs w:val="20"/>
              </w:rPr>
              <w:t xml:space="preserve">Develop PIP (12 </w:t>
            </w:r>
            <w:proofErr w:type="spellStart"/>
            <w:r w:rsidRPr="00104202">
              <w:rPr>
                <w:sz w:val="20"/>
                <w:szCs w:val="20"/>
              </w:rPr>
              <w:t>hrs</w:t>
            </w:r>
            <w:proofErr w:type="spellEnd"/>
            <w:r w:rsidRPr="00104202">
              <w:rPr>
                <w:sz w:val="20"/>
                <w:szCs w:val="20"/>
              </w:rPr>
              <w:t xml:space="preserve"> x $</w:t>
            </w:r>
            <w:r w:rsidR="00044289" w:rsidRPr="001F3C8E">
              <w:rPr>
                <w:sz w:val="20"/>
                <w:szCs w:val="20"/>
              </w:rPr>
              <w:t>50</w:t>
            </w:r>
            <w:r w:rsidRPr="00104202">
              <w:rPr>
                <w:sz w:val="20"/>
                <w:szCs w:val="20"/>
              </w:rPr>
              <w:t>/</w:t>
            </w:r>
            <w:proofErr w:type="spellStart"/>
            <w:r w:rsidRPr="00104202">
              <w:rPr>
                <w:sz w:val="20"/>
                <w:szCs w:val="20"/>
              </w:rPr>
              <w:t>hr</w:t>
            </w:r>
            <w:proofErr w:type="spellEnd"/>
            <w:r w:rsidRPr="00104202">
              <w:rPr>
                <w:sz w:val="20"/>
                <w:szCs w:val="20"/>
              </w:rPr>
              <w:t xml:space="preserve"> + </w:t>
            </w:r>
            <w:r w:rsidR="00044289" w:rsidRPr="001F3C8E">
              <w:rPr>
                <w:sz w:val="20"/>
                <w:szCs w:val="20"/>
              </w:rPr>
              <w:t>40</w:t>
            </w:r>
            <w:r w:rsidRPr="00104202">
              <w:rPr>
                <w:sz w:val="20"/>
                <w:szCs w:val="20"/>
              </w:rPr>
              <w:t>% fringe = $</w:t>
            </w:r>
            <w:r w:rsidR="00323D11" w:rsidRPr="001F3C8E">
              <w:rPr>
                <w:sz w:val="20"/>
                <w:szCs w:val="20"/>
              </w:rPr>
              <w:t>840</w:t>
            </w:r>
            <w:r w:rsidRPr="00104202">
              <w:rPr>
                <w:sz w:val="20"/>
                <w:szCs w:val="20"/>
              </w:rPr>
              <w:t xml:space="preserve">); Plan/attend 4 community outreach meetings (2 hours attendance + 6 hours planning/meeting x 4 meetings = 32 </w:t>
            </w:r>
            <w:proofErr w:type="spellStart"/>
            <w:r w:rsidRPr="00104202">
              <w:rPr>
                <w:sz w:val="20"/>
                <w:szCs w:val="20"/>
              </w:rPr>
              <w:t>hrs</w:t>
            </w:r>
            <w:proofErr w:type="spellEnd"/>
            <w:r w:rsidRPr="00104202">
              <w:rPr>
                <w:sz w:val="20"/>
                <w:szCs w:val="20"/>
              </w:rPr>
              <w:t xml:space="preserve"> x $</w:t>
            </w:r>
            <w:r w:rsidR="00044289" w:rsidRPr="001F3C8E">
              <w:rPr>
                <w:sz w:val="20"/>
                <w:szCs w:val="20"/>
              </w:rPr>
              <w:t>50</w:t>
            </w:r>
            <w:r w:rsidRPr="00104202">
              <w:rPr>
                <w:sz w:val="20"/>
                <w:szCs w:val="20"/>
              </w:rPr>
              <w:t>/</w:t>
            </w:r>
            <w:proofErr w:type="spellStart"/>
            <w:r w:rsidRPr="00104202">
              <w:rPr>
                <w:sz w:val="20"/>
                <w:szCs w:val="20"/>
              </w:rPr>
              <w:t>hr</w:t>
            </w:r>
            <w:proofErr w:type="spellEnd"/>
            <w:r w:rsidRPr="00104202">
              <w:rPr>
                <w:sz w:val="20"/>
                <w:szCs w:val="20"/>
              </w:rPr>
              <w:t xml:space="preserve"> + </w:t>
            </w:r>
            <w:r w:rsidR="00044289" w:rsidRPr="001F3C8E">
              <w:rPr>
                <w:sz w:val="20"/>
                <w:szCs w:val="20"/>
              </w:rPr>
              <w:t>40</w:t>
            </w:r>
            <w:r w:rsidRPr="00104202">
              <w:rPr>
                <w:sz w:val="20"/>
                <w:szCs w:val="20"/>
              </w:rPr>
              <w:t>% fringe = $</w:t>
            </w:r>
            <w:r w:rsidR="00323D11" w:rsidRPr="001F3C8E">
              <w:rPr>
                <w:sz w:val="20"/>
                <w:szCs w:val="20"/>
              </w:rPr>
              <w:t>2,240</w:t>
            </w:r>
            <w:r w:rsidRPr="00104202">
              <w:rPr>
                <w:sz w:val="20"/>
                <w:szCs w:val="20"/>
              </w:rPr>
              <w:t xml:space="preserve">); Quarterly articles/website/Commission updates (8 quarters x </w:t>
            </w:r>
            <w:r w:rsidR="00323D11" w:rsidRPr="001F3C8E">
              <w:rPr>
                <w:sz w:val="20"/>
                <w:szCs w:val="20"/>
              </w:rPr>
              <w:t>2</w:t>
            </w:r>
            <w:r w:rsidRPr="00104202">
              <w:rPr>
                <w:sz w:val="20"/>
                <w:szCs w:val="20"/>
              </w:rPr>
              <w:t xml:space="preserve">h/quarter = </w:t>
            </w:r>
            <w:r w:rsidR="00323D11" w:rsidRPr="001F3C8E">
              <w:rPr>
                <w:sz w:val="20"/>
                <w:szCs w:val="20"/>
              </w:rPr>
              <w:t>16</w:t>
            </w:r>
            <w:r w:rsidR="00323D11" w:rsidRPr="00104202">
              <w:rPr>
                <w:sz w:val="20"/>
                <w:szCs w:val="20"/>
              </w:rPr>
              <w:t xml:space="preserve"> </w:t>
            </w:r>
            <w:proofErr w:type="spellStart"/>
            <w:r w:rsidRPr="00104202">
              <w:rPr>
                <w:sz w:val="20"/>
                <w:szCs w:val="20"/>
              </w:rPr>
              <w:t>hrs</w:t>
            </w:r>
            <w:proofErr w:type="spellEnd"/>
            <w:r w:rsidRPr="00104202">
              <w:rPr>
                <w:sz w:val="20"/>
                <w:szCs w:val="20"/>
              </w:rPr>
              <w:t xml:space="preserve"> x $</w:t>
            </w:r>
            <w:r w:rsidR="00044289" w:rsidRPr="001F3C8E">
              <w:rPr>
                <w:sz w:val="20"/>
                <w:szCs w:val="20"/>
              </w:rPr>
              <w:t>50</w:t>
            </w:r>
            <w:r w:rsidRPr="00104202">
              <w:rPr>
                <w:sz w:val="20"/>
                <w:szCs w:val="20"/>
              </w:rPr>
              <w:t>/</w:t>
            </w:r>
            <w:proofErr w:type="spellStart"/>
            <w:r w:rsidRPr="00104202">
              <w:rPr>
                <w:sz w:val="20"/>
                <w:szCs w:val="20"/>
              </w:rPr>
              <w:t>hr</w:t>
            </w:r>
            <w:proofErr w:type="spellEnd"/>
            <w:r w:rsidRPr="00104202">
              <w:rPr>
                <w:sz w:val="20"/>
                <w:szCs w:val="20"/>
              </w:rPr>
              <w:t xml:space="preserve"> + </w:t>
            </w:r>
            <w:r w:rsidR="00044289" w:rsidRPr="001F3C8E">
              <w:rPr>
                <w:sz w:val="20"/>
                <w:szCs w:val="20"/>
              </w:rPr>
              <w:t>40</w:t>
            </w:r>
            <w:r w:rsidRPr="00104202">
              <w:rPr>
                <w:sz w:val="20"/>
                <w:szCs w:val="20"/>
              </w:rPr>
              <w:t>% fringe = $</w:t>
            </w:r>
            <w:r w:rsidR="00323D11" w:rsidRPr="001F3C8E">
              <w:rPr>
                <w:sz w:val="20"/>
                <w:szCs w:val="20"/>
              </w:rPr>
              <w:t>1,120</w:t>
            </w:r>
            <w:r w:rsidRPr="00104202">
              <w:rPr>
                <w:sz w:val="20"/>
                <w:szCs w:val="20"/>
              </w:rPr>
              <w:t>); Direct community outreach and engagement outside meetings</w:t>
            </w:r>
            <w:r w:rsidR="00332EDE" w:rsidRPr="001F3C8E">
              <w:rPr>
                <w:sz w:val="20"/>
                <w:szCs w:val="20"/>
              </w:rPr>
              <w:t xml:space="preserve"> </w:t>
            </w:r>
            <w:r w:rsidRPr="00104202">
              <w:rPr>
                <w:sz w:val="20"/>
                <w:szCs w:val="20"/>
              </w:rPr>
              <w:t xml:space="preserve">(80 </w:t>
            </w:r>
            <w:proofErr w:type="spellStart"/>
            <w:r w:rsidRPr="00104202">
              <w:rPr>
                <w:sz w:val="20"/>
                <w:szCs w:val="20"/>
              </w:rPr>
              <w:t>hrs</w:t>
            </w:r>
            <w:proofErr w:type="spellEnd"/>
            <w:r w:rsidRPr="00104202">
              <w:rPr>
                <w:sz w:val="20"/>
                <w:szCs w:val="20"/>
              </w:rPr>
              <w:t xml:space="preserve"> x $</w:t>
            </w:r>
            <w:r w:rsidR="00044289" w:rsidRPr="001F3C8E">
              <w:rPr>
                <w:sz w:val="20"/>
                <w:szCs w:val="20"/>
              </w:rPr>
              <w:t>50</w:t>
            </w:r>
            <w:r w:rsidRPr="00104202">
              <w:rPr>
                <w:sz w:val="20"/>
                <w:szCs w:val="20"/>
              </w:rPr>
              <w:t>/</w:t>
            </w:r>
            <w:proofErr w:type="spellStart"/>
            <w:r w:rsidRPr="00104202">
              <w:rPr>
                <w:sz w:val="20"/>
                <w:szCs w:val="20"/>
              </w:rPr>
              <w:t>hr</w:t>
            </w:r>
            <w:proofErr w:type="spellEnd"/>
            <w:r w:rsidRPr="00104202">
              <w:rPr>
                <w:sz w:val="20"/>
                <w:szCs w:val="20"/>
              </w:rPr>
              <w:t xml:space="preserve"> + </w:t>
            </w:r>
            <w:r w:rsidR="00044289" w:rsidRPr="001F3C8E">
              <w:rPr>
                <w:sz w:val="20"/>
                <w:szCs w:val="20"/>
              </w:rPr>
              <w:t>40</w:t>
            </w:r>
            <w:r w:rsidRPr="00104202">
              <w:rPr>
                <w:sz w:val="20"/>
                <w:szCs w:val="20"/>
              </w:rPr>
              <w:t>% fringe = $</w:t>
            </w:r>
            <w:r w:rsidR="00323D11" w:rsidRPr="001F3C8E">
              <w:rPr>
                <w:sz w:val="20"/>
                <w:szCs w:val="20"/>
              </w:rPr>
              <w:t>5,600</w:t>
            </w:r>
            <w:r w:rsidRPr="00104202">
              <w:rPr>
                <w:sz w:val="20"/>
                <w:szCs w:val="20"/>
              </w:rPr>
              <w:t xml:space="preserve">) </w:t>
            </w:r>
          </w:p>
          <w:p w14:paraId="3B14C1BF" w14:textId="77777777" w:rsidR="009B290E" w:rsidRPr="001F3C8E" w:rsidRDefault="00236A23" w:rsidP="001F3C8E">
            <w:pPr>
              <w:spacing w:after="0"/>
              <w:jc w:val="left"/>
              <w:rPr>
                <w:sz w:val="20"/>
                <w:szCs w:val="20"/>
                <w:u w:val="single"/>
              </w:rPr>
            </w:pPr>
            <w:r w:rsidRPr="001F3C8E">
              <w:rPr>
                <w:sz w:val="20"/>
                <w:szCs w:val="20"/>
                <w:u w:val="single"/>
              </w:rPr>
              <w:t>Supplies: $800</w:t>
            </w:r>
          </w:p>
          <w:p w14:paraId="76F904CE" w14:textId="45473487" w:rsidR="009B290E" w:rsidRPr="001F3C8E" w:rsidRDefault="00236A23" w:rsidP="001F3C8E">
            <w:pPr>
              <w:spacing w:after="0"/>
              <w:jc w:val="left"/>
              <w:rPr>
                <w:sz w:val="20"/>
                <w:szCs w:val="20"/>
              </w:rPr>
            </w:pPr>
            <w:r w:rsidRPr="00104202">
              <w:rPr>
                <w:sz w:val="20"/>
                <w:szCs w:val="20"/>
              </w:rPr>
              <w:t>Community mtg light refreshments/office supplies (sticky notes, voting dots, pens, markers, paper) (4 x $</w:t>
            </w:r>
            <w:r w:rsidR="00552BA3" w:rsidRPr="001F3C8E">
              <w:rPr>
                <w:sz w:val="20"/>
                <w:szCs w:val="20"/>
              </w:rPr>
              <w:t>2</w:t>
            </w:r>
            <w:r w:rsidR="00332EDE" w:rsidRPr="001F3C8E">
              <w:rPr>
                <w:sz w:val="20"/>
                <w:szCs w:val="20"/>
              </w:rPr>
              <w:t>0</w:t>
            </w:r>
            <w:r w:rsidR="00552BA3" w:rsidRPr="001F3C8E">
              <w:rPr>
                <w:sz w:val="20"/>
                <w:szCs w:val="20"/>
              </w:rPr>
              <w:t>0</w:t>
            </w:r>
            <w:r w:rsidRPr="00104202">
              <w:rPr>
                <w:sz w:val="20"/>
                <w:szCs w:val="20"/>
              </w:rPr>
              <w:t>/meeting = $800)</w:t>
            </w:r>
          </w:p>
          <w:p w14:paraId="6EA64595" w14:textId="57B6F2D0" w:rsidR="009B290E" w:rsidRPr="001F3C8E" w:rsidRDefault="00236A23" w:rsidP="001F3C8E">
            <w:pPr>
              <w:spacing w:after="0"/>
              <w:jc w:val="left"/>
              <w:rPr>
                <w:sz w:val="20"/>
                <w:szCs w:val="20"/>
                <w:u w:val="single"/>
              </w:rPr>
            </w:pPr>
            <w:r w:rsidRPr="001F3C8E">
              <w:rPr>
                <w:sz w:val="20"/>
                <w:szCs w:val="20"/>
                <w:u w:val="single"/>
              </w:rPr>
              <w:t>Contractual Costs: $</w:t>
            </w:r>
            <w:r w:rsidR="00332EDE" w:rsidRPr="001F3C8E">
              <w:rPr>
                <w:sz w:val="20"/>
                <w:szCs w:val="20"/>
                <w:u w:val="single"/>
              </w:rPr>
              <w:t>24,260</w:t>
            </w:r>
            <w:r w:rsidRPr="001F3C8E">
              <w:rPr>
                <w:sz w:val="20"/>
                <w:szCs w:val="20"/>
                <w:u w:val="single"/>
              </w:rPr>
              <w:t xml:space="preserve"> </w:t>
            </w:r>
          </w:p>
          <w:p w14:paraId="7F5D53E2" w14:textId="0B4670BF" w:rsidR="00CB12B2" w:rsidRPr="00104202" w:rsidRDefault="00FF6F0B" w:rsidP="001F3C8E">
            <w:pPr>
              <w:spacing w:after="0"/>
              <w:jc w:val="left"/>
              <w:rPr>
                <w:sz w:val="20"/>
                <w:szCs w:val="20"/>
              </w:rPr>
            </w:pPr>
            <w:r w:rsidRPr="001F3C8E">
              <w:rPr>
                <w:sz w:val="20"/>
                <w:szCs w:val="20"/>
              </w:rPr>
              <w:t>LSRP</w:t>
            </w:r>
            <w:r w:rsidR="00236A23" w:rsidRPr="00104202">
              <w:rPr>
                <w:sz w:val="20"/>
                <w:szCs w:val="20"/>
              </w:rPr>
              <w:t xml:space="preserve"> contributions to </w:t>
            </w:r>
            <w:r w:rsidR="006742D0" w:rsidRPr="001F3C8E">
              <w:rPr>
                <w:sz w:val="20"/>
                <w:szCs w:val="20"/>
              </w:rPr>
              <w:t>PIP</w:t>
            </w:r>
            <w:r w:rsidR="00236A23" w:rsidRPr="00104202">
              <w:rPr>
                <w:sz w:val="20"/>
                <w:szCs w:val="20"/>
              </w:rPr>
              <w:t xml:space="preserve"> (</w:t>
            </w:r>
            <w:r w:rsidR="00332EDE" w:rsidRPr="001F3C8E">
              <w:rPr>
                <w:sz w:val="20"/>
                <w:szCs w:val="20"/>
              </w:rPr>
              <w:t>6</w:t>
            </w:r>
            <w:r w:rsidR="00236A23" w:rsidRPr="00104202">
              <w:rPr>
                <w:sz w:val="20"/>
                <w:szCs w:val="20"/>
              </w:rPr>
              <w:t xml:space="preserve"> </w:t>
            </w:r>
            <w:proofErr w:type="spellStart"/>
            <w:r w:rsidR="00236A23" w:rsidRPr="00104202">
              <w:rPr>
                <w:sz w:val="20"/>
                <w:szCs w:val="20"/>
              </w:rPr>
              <w:t>hrs</w:t>
            </w:r>
            <w:proofErr w:type="spellEnd"/>
            <w:r w:rsidR="00236A23" w:rsidRPr="00104202">
              <w:rPr>
                <w:sz w:val="20"/>
                <w:szCs w:val="20"/>
              </w:rPr>
              <w:t xml:space="preserve"> x $</w:t>
            </w:r>
            <w:r w:rsidR="00552BA3" w:rsidRPr="001F3C8E">
              <w:rPr>
                <w:sz w:val="20"/>
                <w:szCs w:val="20"/>
              </w:rPr>
              <w:t>210</w:t>
            </w:r>
            <w:r w:rsidR="00236A23" w:rsidRPr="00104202">
              <w:rPr>
                <w:sz w:val="20"/>
                <w:szCs w:val="20"/>
              </w:rPr>
              <w:t>/</w:t>
            </w:r>
            <w:proofErr w:type="spellStart"/>
            <w:r w:rsidR="00236A23" w:rsidRPr="00104202">
              <w:rPr>
                <w:sz w:val="20"/>
                <w:szCs w:val="20"/>
              </w:rPr>
              <w:t>hr</w:t>
            </w:r>
            <w:proofErr w:type="spellEnd"/>
            <w:r w:rsidR="00236A23" w:rsidRPr="00104202">
              <w:rPr>
                <w:sz w:val="20"/>
                <w:szCs w:val="20"/>
              </w:rPr>
              <w:t xml:space="preserve"> = $1,</w:t>
            </w:r>
            <w:r w:rsidR="00332EDE" w:rsidRPr="001F3C8E">
              <w:rPr>
                <w:sz w:val="20"/>
                <w:szCs w:val="20"/>
              </w:rPr>
              <w:t>260</w:t>
            </w:r>
            <w:r w:rsidR="00236A23" w:rsidRPr="00104202">
              <w:rPr>
                <w:sz w:val="20"/>
                <w:szCs w:val="20"/>
              </w:rPr>
              <w:t xml:space="preserve">); </w:t>
            </w:r>
            <w:r w:rsidRPr="001F3C8E">
              <w:rPr>
                <w:sz w:val="20"/>
                <w:szCs w:val="20"/>
              </w:rPr>
              <w:t>LSRP</w:t>
            </w:r>
            <w:r w:rsidRPr="00104202">
              <w:rPr>
                <w:sz w:val="20"/>
                <w:szCs w:val="20"/>
              </w:rPr>
              <w:t xml:space="preserve"> </w:t>
            </w:r>
            <w:r w:rsidR="00236A23" w:rsidRPr="00104202">
              <w:rPr>
                <w:sz w:val="20"/>
                <w:szCs w:val="20"/>
              </w:rPr>
              <w:t xml:space="preserve">support at community outreach meetings (10hrs/meeting x 4 meetings = 40 </w:t>
            </w:r>
            <w:proofErr w:type="spellStart"/>
            <w:r w:rsidR="00236A23" w:rsidRPr="00104202">
              <w:rPr>
                <w:sz w:val="20"/>
                <w:szCs w:val="20"/>
              </w:rPr>
              <w:t>hrs</w:t>
            </w:r>
            <w:proofErr w:type="spellEnd"/>
            <w:r w:rsidR="00236A23" w:rsidRPr="00104202">
              <w:rPr>
                <w:sz w:val="20"/>
                <w:szCs w:val="20"/>
              </w:rPr>
              <w:t xml:space="preserve"> x $</w:t>
            </w:r>
            <w:r w:rsidR="00552BA3" w:rsidRPr="001F3C8E">
              <w:rPr>
                <w:sz w:val="20"/>
                <w:szCs w:val="20"/>
              </w:rPr>
              <w:t>210</w:t>
            </w:r>
            <w:r w:rsidR="00236A23" w:rsidRPr="00104202">
              <w:rPr>
                <w:sz w:val="20"/>
                <w:szCs w:val="20"/>
              </w:rPr>
              <w:t>/</w:t>
            </w:r>
            <w:proofErr w:type="spellStart"/>
            <w:r w:rsidR="00236A23" w:rsidRPr="00104202">
              <w:rPr>
                <w:sz w:val="20"/>
                <w:szCs w:val="20"/>
              </w:rPr>
              <w:t>hr</w:t>
            </w:r>
            <w:proofErr w:type="spellEnd"/>
            <w:r w:rsidR="00236A23" w:rsidRPr="00104202">
              <w:rPr>
                <w:sz w:val="20"/>
                <w:szCs w:val="20"/>
              </w:rPr>
              <w:t xml:space="preserve"> = $8,</w:t>
            </w:r>
            <w:r w:rsidR="00332EDE" w:rsidRPr="001F3C8E">
              <w:rPr>
                <w:sz w:val="20"/>
                <w:szCs w:val="20"/>
              </w:rPr>
              <w:t>400</w:t>
            </w:r>
            <w:r w:rsidR="00236A23" w:rsidRPr="00104202">
              <w:rPr>
                <w:sz w:val="20"/>
                <w:szCs w:val="20"/>
              </w:rPr>
              <w:t xml:space="preserve">); support quarterly articles/media updates (2h/quarter x 8 quarters = 16 </w:t>
            </w:r>
            <w:proofErr w:type="spellStart"/>
            <w:r w:rsidR="00236A23" w:rsidRPr="00104202">
              <w:rPr>
                <w:sz w:val="20"/>
                <w:szCs w:val="20"/>
              </w:rPr>
              <w:t>hrs</w:t>
            </w:r>
            <w:proofErr w:type="spellEnd"/>
            <w:r w:rsidR="00236A23" w:rsidRPr="00104202">
              <w:rPr>
                <w:sz w:val="20"/>
                <w:szCs w:val="20"/>
              </w:rPr>
              <w:t xml:space="preserve"> x $</w:t>
            </w:r>
            <w:r w:rsidR="00552BA3" w:rsidRPr="001F3C8E">
              <w:rPr>
                <w:sz w:val="20"/>
                <w:szCs w:val="20"/>
              </w:rPr>
              <w:t>210</w:t>
            </w:r>
            <w:r w:rsidR="00236A23" w:rsidRPr="00104202">
              <w:rPr>
                <w:sz w:val="20"/>
                <w:szCs w:val="20"/>
              </w:rPr>
              <w:t>/</w:t>
            </w:r>
            <w:proofErr w:type="spellStart"/>
            <w:r w:rsidR="00236A23" w:rsidRPr="00104202">
              <w:rPr>
                <w:sz w:val="20"/>
                <w:szCs w:val="20"/>
              </w:rPr>
              <w:t>hr</w:t>
            </w:r>
            <w:proofErr w:type="spellEnd"/>
            <w:r w:rsidR="00236A23" w:rsidRPr="00104202">
              <w:rPr>
                <w:sz w:val="20"/>
                <w:szCs w:val="20"/>
              </w:rPr>
              <w:t xml:space="preserve"> = $3,</w:t>
            </w:r>
            <w:r w:rsidR="00332EDE" w:rsidRPr="001F3C8E">
              <w:rPr>
                <w:sz w:val="20"/>
                <w:szCs w:val="20"/>
              </w:rPr>
              <w:t>360</w:t>
            </w:r>
            <w:r w:rsidR="00236A23" w:rsidRPr="00104202">
              <w:rPr>
                <w:sz w:val="20"/>
                <w:szCs w:val="20"/>
              </w:rPr>
              <w:t xml:space="preserve">); Support </w:t>
            </w:r>
            <w:r w:rsidR="005D4B78" w:rsidRPr="001F3C8E">
              <w:rPr>
                <w:sz w:val="20"/>
                <w:szCs w:val="20"/>
              </w:rPr>
              <w:t>Mullica</w:t>
            </w:r>
            <w:r w:rsidR="00236A23" w:rsidRPr="00104202">
              <w:rPr>
                <w:sz w:val="20"/>
                <w:szCs w:val="20"/>
              </w:rPr>
              <w:t xml:space="preserve"> with direct outreach and engagement with key constituencies outside of community meetings (24 </w:t>
            </w:r>
            <w:proofErr w:type="spellStart"/>
            <w:r w:rsidR="00236A23" w:rsidRPr="00104202">
              <w:rPr>
                <w:sz w:val="20"/>
                <w:szCs w:val="20"/>
              </w:rPr>
              <w:t>hrs</w:t>
            </w:r>
            <w:proofErr w:type="spellEnd"/>
            <w:r w:rsidR="00236A23" w:rsidRPr="00104202">
              <w:rPr>
                <w:sz w:val="20"/>
                <w:szCs w:val="20"/>
              </w:rPr>
              <w:t xml:space="preserve"> x $</w:t>
            </w:r>
            <w:r w:rsidR="00552BA3" w:rsidRPr="001F3C8E">
              <w:rPr>
                <w:sz w:val="20"/>
                <w:szCs w:val="20"/>
              </w:rPr>
              <w:t>210</w:t>
            </w:r>
            <w:r w:rsidR="00236A23" w:rsidRPr="00104202">
              <w:rPr>
                <w:sz w:val="20"/>
                <w:szCs w:val="20"/>
              </w:rPr>
              <w:t>/</w:t>
            </w:r>
            <w:proofErr w:type="spellStart"/>
            <w:r w:rsidR="00236A23" w:rsidRPr="00104202">
              <w:rPr>
                <w:sz w:val="20"/>
                <w:szCs w:val="20"/>
              </w:rPr>
              <w:t>hr</w:t>
            </w:r>
            <w:proofErr w:type="spellEnd"/>
            <w:r w:rsidR="00236A23" w:rsidRPr="00104202">
              <w:rPr>
                <w:sz w:val="20"/>
                <w:szCs w:val="20"/>
              </w:rPr>
              <w:t xml:space="preserve"> = $</w:t>
            </w:r>
            <w:r w:rsidR="00332EDE" w:rsidRPr="001F3C8E">
              <w:rPr>
                <w:sz w:val="20"/>
                <w:szCs w:val="20"/>
              </w:rPr>
              <w:t>5,040</w:t>
            </w:r>
            <w:r w:rsidR="00236A23" w:rsidRPr="00104202">
              <w:rPr>
                <w:sz w:val="20"/>
                <w:szCs w:val="20"/>
              </w:rPr>
              <w:t xml:space="preserve">); Interpretation and translation (20 </w:t>
            </w:r>
            <w:proofErr w:type="spellStart"/>
            <w:r w:rsidR="00236A23" w:rsidRPr="00104202">
              <w:rPr>
                <w:sz w:val="20"/>
                <w:szCs w:val="20"/>
              </w:rPr>
              <w:t>hrs</w:t>
            </w:r>
            <w:proofErr w:type="spellEnd"/>
            <w:r w:rsidR="00236A23" w:rsidRPr="00104202">
              <w:rPr>
                <w:sz w:val="20"/>
                <w:szCs w:val="20"/>
              </w:rPr>
              <w:t xml:space="preserve"> x $</w:t>
            </w:r>
            <w:r w:rsidR="00552BA3" w:rsidRPr="001F3C8E">
              <w:rPr>
                <w:sz w:val="20"/>
                <w:szCs w:val="20"/>
              </w:rPr>
              <w:t>210</w:t>
            </w:r>
            <w:r w:rsidR="00236A23" w:rsidRPr="00104202">
              <w:rPr>
                <w:sz w:val="20"/>
                <w:szCs w:val="20"/>
              </w:rPr>
              <w:t>/</w:t>
            </w:r>
            <w:proofErr w:type="spellStart"/>
            <w:r w:rsidR="00236A23" w:rsidRPr="00104202">
              <w:rPr>
                <w:sz w:val="20"/>
                <w:szCs w:val="20"/>
              </w:rPr>
              <w:t>hr</w:t>
            </w:r>
            <w:proofErr w:type="spellEnd"/>
            <w:r w:rsidR="00236A23" w:rsidRPr="00104202">
              <w:rPr>
                <w:sz w:val="20"/>
                <w:szCs w:val="20"/>
              </w:rPr>
              <w:t xml:space="preserve"> = $4,</w:t>
            </w:r>
            <w:r w:rsidR="00332EDE" w:rsidRPr="001F3C8E">
              <w:rPr>
                <w:sz w:val="20"/>
                <w:szCs w:val="20"/>
              </w:rPr>
              <w:t>2</w:t>
            </w:r>
            <w:r w:rsidR="00236A23" w:rsidRPr="00104202">
              <w:rPr>
                <w:sz w:val="20"/>
                <w:szCs w:val="20"/>
              </w:rPr>
              <w:t>00); printing flyers and posters for community meetings ($</w:t>
            </w:r>
            <w:r w:rsidR="00552BA3" w:rsidRPr="001F3C8E">
              <w:rPr>
                <w:sz w:val="20"/>
                <w:szCs w:val="20"/>
              </w:rPr>
              <w:t>210</w:t>
            </w:r>
            <w:r w:rsidR="00236A23" w:rsidRPr="00104202">
              <w:rPr>
                <w:sz w:val="20"/>
                <w:szCs w:val="20"/>
              </w:rPr>
              <w:t>/meeting x 4 meetings = $8</w:t>
            </w:r>
            <w:r w:rsidR="00332EDE" w:rsidRPr="001F3C8E">
              <w:rPr>
                <w:sz w:val="20"/>
                <w:szCs w:val="20"/>
              </w:rPr>
              <w:t>4</w:t>
            </w:r>
            <w:r w:rsidR="00236A23" w:rsidRPr="00104202">
              <w:rPr>
                <w:sz w:val="20"/>
                <w:szCs w:val="20"/>
              </w:rPr>
              <w:t>0 + $1,</w:t>
            </w:r>
            <w:r w:rsidR="00332EDE" w:rsidRPr="001F3C8E">
              <w:rPr>
                <w:sz w:val="20"/>
                <w:szCs w:val="20"/>
              </w:rPr>
              <w:t>160</w:t>
            </w:r>
            <w:r w:rsidR="00236A23" w:rsidRPr="00104202">
              <w:rPr>
                <w:sz w:val="20"/>
                <w:szCs w:val="20"/>
              </w:rPr>
              <w:t xml:space="preserve"> flyers and other printed materials = $2,000)</w:t>
            </w:r>
          </w:p>
        </w:tc>
      </w:tr>
      <w:tr w:rsidR="000154B4" w:rsidRPr="00BD6E47" w14:paraId="33E6454C" w14:textId="77777777" w:rsidTr="001F3C8E">
        <w:trPr>
          <w:trHeight w:val="2016"/>
          <w:jc w:val="center"/>
        </w:trPr>
        <w:tc>
          <w:tcPr>
            <w:tcW w:w="1255" w:type="dxa"/>
            <w:vAlign w:val="center"/>
          </w:tcPr>
          <w:p w14:paraId="42B1BDBE" w14:textId="7DA9F9B0" w:rsidR="00CB12B2" w:rsidRPr="00104202" w:rsidRDefault="000154B4" w:rsidP="00F53780">
            <w:pPr>
              <w:jc w:val="left"/>
              <w:rPr>
                <w:b/>
                <w:bCs/>
                <w:sz w:val="20"/>
                <w:szCs w:val="20"/>
              </w:rPr>
            </w:pPr>
            <w:r w:rsidRPr="00104202">
              <w:rPr>
                <w:b/>
                <w:bCs/>
                <w:sz w:val="20"/>
                <w:szCs w:val="20"/>
              </w:rPr>
              <w:t>3. Cleanup Planning</w:t>
            </w:r>
          </w:p>
        </w:tc>
        <w:tc>
          <w:tcPr>
            <w:tcW w:w="10175" w:type="dxa"/>
            <w:vAlign w:val="center"/>
          </w:tcPr>
          <w:p w14:paraId="28861C08" w14:textId="430E4CEB" w:rsidR="00AD3D4E" w:rsidRPr="001F3C8E" w:rsidRDefault="000A3E71" w:rsidP="00B05C90">
            <w:pPr>
              <w:spacing w:after="0"/>
              <w:jc w:val="left"/>
              <w:rPr>
                <w:sz w:val="20"/>
                <w:szCs w:val="20"/>
                <w:u w:val="single"/>
              </w:rPr>
            </w:pPr>
            <w:r w:rsidRPr="001F3C8E">
              <w:rPr>
                <w:sz w:val="20"/>
                <w:szCs w:val="20"/>
                <w:u w:val="single"/>
              </w:rPr>
              <w:t>Personnel and Fringe Total = $</w:t>
            </w:r>
            <w:r w:rsidR="00C916F0" w:rsidRPr="001F3C8E">
              <w:rPr>
                <w:sz w:val="20"/>
                <w:szCs w:val="20"/>
                <w:u w:val="single"/>
              </w:rPr>
              <w:t>8,750</w:t>
            </w:r>
            <w:r w:rsidRPr="001F3C8E">
              <w:rPr>
                <w:sz w:val="20"/>
                <w:szCs w:val="20"/>
                <w:u w:val="single"/>
              </w:rPr>
              <w:t xml:space="preserve"> (Personnel = $</w:t>
            </w:r>
            <w:r w:rsidR="00C916F0" w:rsidRPr="001F3C8E">
              <w:rPr>
                <w:sz w:val="20"/>
                <w:szCs w:val="20"/>
                <w:u w:val="single"/>
              </w:rPr>
              <w:t>6,250</w:t>
            </w:r>
            <w:r w:rsidRPr="001F3C8E">
              <w:rPr>
                <w:sz w:val="20"/>
                <w:szCs w:val="20"/>
                <w:u w:val="single"/>
              </w:rPr>
              <w:t xml:space="preserve"> + Fringe </w:t>
            </w:r>
            <w:r w:rsidR="0074788D" w:rsidRPr="001F3C8E">
              <w:rPr>
                <w:sz w:val="20"/>
                <w:szCs w:val="20"/>
                <w:u w:val="single"/>
              </w:rPr>
              <w:t>[</w:t>
            </w:r>
            <w:r w:rsidR="00044289" w:rsidRPr="001F3C8E">
              <w:rPr>
                <w:sz w:val="20"/>
                <w:szCs w:val="20"/>
                <w:u w:val="single"/>
              </w:rPr>
              <w:t>40</w:t>
            </w:r>
            <w:r w:rsidRPr="001F3C8E">
              <w:rPr>
                <w:sz w:val="20"/>
                <w:szCs w:val="20"/>
                <w:u w:val="single"/>
              </w:rPr>
              <w:t>%</w:t>
            </w:r>
            <w:r w:rsidR="0074788D" w:rsidRPr="001F3C8E">
              <w:rPr>
                <w:sz w:val="20"/>
                <w:szCs w:val="20"/>
                <w:u w:val="single"/>
              </w:rPr>
              <w:t>]</w:t>
            </w:r>
            <w:r w:rsidRPr="001F3C8E">
              <w:rPr>
                <w:sz w:val="20"/>
                <w:szCs w:val="20"/>
                <w:u w:val="single"/>
              </w:rPr>
              <w:t xml:space="preserve"> = $</w:t>
            </w:r>
            <w:r w:rsidR="00C916F0" w:rsidRPr="001F3C8E">
              <w:rPr>
                <w:sz w:val="20"/>
                <w:szCs w:val="20"/>
                <w:u w:val="single"/>
              </w:rPr>
              <w:t>2,500</w:t>
            </w:r>
            <w:r w:rsidRPr="001F3C8E">
              <w:rPr>
                <w:sz w:val="20"/>
                <w:szCs w:val="20"/>
                <w:u w:val="single"/>
              </w:rPr>
              <w:t xml:space="preserve">) </w:t>
            </w:r>
          </w:p>
          <w:p w14:paraId="42A7994B" w14:textId="18C2667B" w:rsidR="00AD3D4E" w:rsidRPr="001F3C8E" w:rsidRDefault="000A3E71" w:rsidP="00B05C90">
            <w:pPr>
              <w:spacing w:after="0"/>
              <w:jc w:val="left"/>
              <w:rPr>
                <w:sz w:val="20"/>
                <w:szCs w:val="20"/>
              </w:rPr>
            </w:pPr>
            <w:r w:rsidRPr="00104202">
              <w:rPr>
                <w:sz w:val="20"/>
                <w:szCs w:val="20"/>
              </w:rPr>
              <w:t xml:space="preserve">Review ABCA, coordinate with </w:t>
            </w:r>
            <w:proofErr w:type="gramStart"/>
            <w:r w:rsidR="00FF6F0B" w:rsidRPr="001F3C8E">
              <w:rPr>
                <w:sz w:val="20"/>
                <w:szCs w:val="20"/>
              </w:rPr>
              <w:t>LSRP</w:t>
            </w:r>
            <w:r w:rsidRPr="00104202">
              <w:rPr>
                <w:sz w:val="20"/>
                <w:szCs w:val="20"/>
              </w:rPr>
              <w:t>(</w:t>
            </w:r>
            <w:proofErr w:type="gramEnd"/>
            <w:r w:rsidRPr="00104202">
              <w:rPr>
                <w:sz w:val="20"/>
                <w:szCs w:val="20"/>
              </w:rPr>
              <w:t xml:space="preserve">25 </w:t>
            </w:r>
            <w:proofErr w:type="spellStart"/>
            <w:r w:rsidRPr="00104202">
              <w:rPr>
                <w:sz w:val="20"/>
                <w:szCs w:val="20"/>
              </w:rPr>
              <w:t>hrs</w:t>
            </w:r>
            <w:proofErr w:type="spellEnd"/>
            <w:r w:rsidRPr="00104202">
              <w:rPr>
                <w:sz w:val="20"/>
                <w:szCs w:val="20"/>
              </w:rPr>
              <w:t xml:space="preserve"> x $</w:t>
            </w:r>
            <w:r w:rsidR="00044289" w:rsidRPr="001F3C8E">
              <w:rPr>
                <w:sz w:val="20"/>
                <w:szCs w:val="20"/>
              </w:rPr>
              <w:t>50</w:t>
            </w:r>
            <w:r w:rsidRPr="00104202">
              <w:rPr>
                <w:sz w:val="20"/>
                <w:szCs w:val="20"/>
              </w:rPr>
              <w:t>/</w:t>
            </w:r>
            <w:proofErr w:type="spellStart"/>
            <w:r w:rsidRPr="00104202">
              <w:rPr>
                <w:sz w:val="20"/>
                <w:szCs w:val="20"/>
              </w:rPr>
              <w:t>hr</w:t>
            </w:r>
            <w:proofErr w:type="spellEnd"/>
            <w:r w:rsidRPr="00104202">
              <w:rPr>
                <w:sz w:val="20"/>
                <w:szCs w:val="20"/>
              </w:rPr>
              <w:t xml:space="preserve"> + </w:t>
            </w:r>
            <w:r w:rsidR="00044289" w:rsidRPr="001F3C8E">
              <w:rPr>
                <w:sz w:val="20"/>
                <w:szCs w:val="20"/>
              </w:rPr>
              <w:t>40</w:t>
            </w:r>
            <w:r w:rsidRPr="00104202">
              <w:rPr>
                <w:sz w:val="20"/>
                <w:szCs w:val="20"/>
              </w:rPr>
              <w:t>% fringe = $</w:t>
            </w:r>
            <w:r w:rsidR="00C916F0" w:rsidRPr="001F3C8E">
              <w:rPr>
                <w:sz w:val="20"/>
                <w:szCs w:val="20"/>
              </w:rPr>
              <w:t>1,750</w:t>
            </w:r>
            <w:r w:rsidRPr="00104202">
              <w:rPr>
                <w:sz w:val="20"/>
                <w:szCs w:val="20"/>
              </w:rPr>
              <w:t xml:space="preserve">); review remedial design documents (25 </w:t>
            </w:r>
            <w:proofErr w:type="spellStart"/>
            <w:r w:rsidRPr="00104202">
              <w:rPr>
                <w:sz w:val="20"/>
                <w:szCs w:val="20"/>
              </w:rPr>
              <w:t>hrs</w:t>
            </w:r>
            <w:proofErr w:type="spellEnd"/>
            <w:r w:rsidRPr="00104202">
              <w:rPr>
                <w:sz w:val="20"/>
                <w:szCs w:val="20"/>
              </w:rPr>
              <w:t xml:space="preserve"> x $</w:t>
            </w:r>
            <w:r w:rsidR="00044289" w:rsidRPr="001F3C8E">
              <w:rPr>
                <w:sz w:val="20"/>
                <w:szCs w:val="20"/>
              </w:rPr>
              <w:t>50</w:t>
            </w:r>
            <w:r w:rsidRPr="00104202">
              <w:rPr>
                <w:sz w:val="20"/>
                <w:szCs w:val="20"/>
              </w:rPr>
              <w:t>/</w:t>
            </w:r>
            <w:proofErr w:type="spellStart"/>
            <w:r w:rsidRPr="00104202">
              <w:rPr>
                <w:sz w:val="20"/>
                <w:szCs w:val="20"/>
              </w:rPr>
              <w:t>hr</w:t>
            </w:r>
            <w:proofErr w:type="spellEnd"/>
            <w:r w:rsidRPr="00104202">
              <w:rPr>
                <w:sz w:val="20"/>
                <w:szCs w:val="20"/>
              </w:rPr>
              <w:t xml:space="preserve"> + </w:t>
            </w:r>
            <w:r w:rsidR="00044289" w:rsidRPr="001F3C8E">
              <w:rPr>
                <w:sz w:val="20"/>
                <w:szCs w:val="20"/>
              </w:rPr>
              <w:t>40</w:t>
            </w:r>
            <w:r w:rsidRPr="00104202">
              <w:rPr>
                <w:sz w:val="20"/>
                <w:szCs w:val="20"/>
              </w:rPr>
              <w:t>% fringe = $</w:t>
            </w:r>
            <w:r w:rsidR="00C916F0" w:rsidRPr="001F3C8E">
              <w:rPr>
                <w:sz w:val="20"/>
                <w:szCs w:val="20"/>
              </w:rPr>
              <w:t>1,750</w:t>
            </w:r>
            <w:r w:rsidRPr="00104202">
              <w:rPr>
                <w:sz w:val="20"/>
                <w:szCs w:val="20"/>
              </w:rPr>
              <w:t>); support for permitting (</w:t>
            </w:r>
            <w:r w:rsidR="00C916F0" w:rsidRPr="001F3C8E">
              <w:rPr>
                <w:sz w:val="20"/>
                <w:szCs w:val="20"/>
              </w:rPr>
              <w:t>25</w:t>
            </w:r>
            <w:r w:rsidRPr="00104202">
              <w:rPr>
                <w:sz w:val="20"/>
                <w:szCs w:val="20"/>
              </w:rPr>
              <w:t xml:space="preserve"> </w:t>
            </w:r>
            <w:proofErr w:type="spellStart"/>
            <w:r w:rsidRPr="00104202">
              <w:rPr>
                <w:sz w:val="20"/>
                <w:szCs w:val="20"/>
              </w:rPr>
              <w:t>hrs</w:t>
            </w:r>
            <w:proofErr w:type="spellEnd"/>
            <w:r w:rsidRPr="00104202">
              <w:rPr>
                <w:sz w:val="20"/>
                <w:szCs w:val="20"/>
              </w:rPr>
              <w:t xml:space="preserve"> x $</w:t>
            </w:r>
            <w:r w:rsidR="00044289" w:rsidRPr="001F3C8E">
              <w:rPr>
                <w:sz w:val="20"/>
                <w:szCs w:val="20"/>
              </w:rPr>
              <w:t>50</w:t>
            </w:r>
            <w:r w:rsidRPr="00104202">
              <w:rPr>
                <w:sz w:val="20"/>
                <w:szCs w:val="20"/>
              </w:rPr>
              <w:t>/</w:t>
            </w:r>
            <w:proofErr w:type="spellStart"/>
            <w:r w:rsidRPr="00104202">
              <w:rPr>
                <w:sz w:val="20"/>
                <w:szCs w:val="20"/>
              </w:rPr>
              <w:t>hr</w:t>
            </w:r>
            <w:proofErr w:type="spellEnd"/>
            <w:r w:rsidRPr="00104202">
              <w:rPr>
                <w:sz w:val="20"/>
                <w:szCs w:val="20"/>
              </w:rPr>
              <w:t xml:space="preserve"> + </w:t>
            </w:r>
            <w:r w:rsidR="00044289" w:rsidRPr="001F3C8E">
              <w:rPr>
                <w:sz w:val="20"/>
                <w:szCs w:val="20"/>
              </w:rPr>
              <w:t>40</w:t>
            </w:r>
            <w:r w:rsidRPr="00104202">
              <w:rPr>
                <w:sz w:val="20"/>
                <w:szCs w:val="20"/>
              </w:rPr>
              <w:t>% fringe = $</w:t>
            </w:r>
            <w:r w:rsidR="00C916F0" w:rsidRPr="001F3C8E">
              <w:rPr>
                <w:sz w:val="20"/>
                <w:szCs w:val="20"/>
              </w:rPr>
              <w:t>1,750</w:t>
            </w:r>
            <w:r w:rsidRPr="00104202">
              <w:rPr>
                <w:sz w:val="20"/>
                <w:szCs w:val="20"/>
              </w:rPr>
              <w:t xml:space="preserve">); review </w:t>
            </w:r>
            <w:r w:rsidR="00806684" w:rsidRPr="001F3C8E">
              <w:rPr>
                <w:sz w:val="20"/>
                <w:szCs w:val="20"/>
              </w:rPr>
              <w:t>Site</w:t>
            </w:r>
            <w:r w:rsidRPr="00104202">
              <w:rPr>
                <w:sz w:val="20"/>
                <w:szCs w:val="20"/>
              </w:rPr>
              <w:t xml:space="preserve"> workplans (25 </w:t>
            </w:r>
            <w:proofErr w:type="spellStart"/>
            <w:r w:rsidRPr="00104202">
              <w:rPr>
                <w:sz w:val="20"/>
                <w:szCs w:val="20"/>
              </w:rPr>
              <w:t>hrs</w:t>
            </w:r>
            <w:proofErr w:type="spellEnd"/>
            <w:r w:rsidRPr="00104202">
              <w:rPr>
                <w:sz w:val="20"/>
                <w:szCs w:val="20"/>
              </w:rPr>
              <w:t xml:space="preserve"> x $</w:t>
            </w:r>
            <w:r w:rsidR="00044289" w:rsidRPr="001F3C8E">
              <w:rPr>
                <w:sz w:val="20"/>
                <w:szCs w:val="20"/>
              </w:rPr>
              <w:t>50</w:t>
            </w:r>
            <w:r w:rsidRPr="00104202">
              <w:rPr>
                <w:sz w:val="20"/>
                <w:szCs w:val="20"/>
              </w:rPr>
              <w:t>/</w:t>
            </w:r>
            <w:proofErr w:type="spellStart"/>
            <w:r w:rsidRPr="00104202">
              <w:rPr>
                <w:sz w:val="20"/>
                <w:szCs w:val="20"/>
              </w:rPr>
              <w:t>hr</w:t>
            </w:r>
            <w:proofErr w:type="spellEnd"/>
            <w:r w:rsidRPr="00104202">
              <w:rPr>
                <w:sz w:val="20"/>
                <w:szCs w:val="20"/>
              </w:rPr>
              <w:t xml:space="preserve"> + </w:t>
            </w:r>
            <w:r w:rsidR="00044289" w:rsidRPr="001F3C8E">
              <w:rPr>
                <w:sz w:val="20"/>
                <w:szCs w:val="20"/>
              </w:rPr>
              <w:t>40</w:t>
            </w:r>
            <w:r w:rsidRPr="00104202">
              <w:rPr>
                <w:sz w:val="20"/>
                <w:szCs w:val="20"/>
              </w:rPr>
              <w:t>% fringe = $1,</w:t>
            </w:r>
            <w:r w:rsidR="00C916F0" w:rsidRPr="001F3C8E">
              <w:rPr>
                <w:sz w:val="20"/>
                <w:szCs w:val="20"/>
              </w:rPr>
              <w:t>750</w:t>
            </w:r>
            <w:r w:rsidRPr="00104202">
              <w:rPr>
                <w:sz w:val="20"/>
                <w:szCs w:val="20"/>
              </w:rPr>
              <w:t xml:space="preserve">); review final design documents, (25 </w:t>
            </w:r>
            <w:proofErr w:type="spellStart"/>
            <w:r w:rsidRPr="00104202">
              <w:rPr>
                <w:sz w:val="20"/>
                <w:szCs w:val="20"/>
              </w:rPr>
              <w:t>hrs</w:t>
            </w:r>
            <w:proofErr w:type="spellEnd"/>
            <w:r w:rsidRPr="00104202">
              <w:rPr>
                <w:sz w:val="20"/>
                <w:szCs w:val="20"/>
              </w:rPr>
              <w:t xml:space="preserve"> x $</w:t>
            </w:r>
            <w:r w:rsidR="00044289" w:rsidRPr="001F3C8E">
              <w:rPr>
                <w:sz w:val="20"/>
                <w:szCs w:val="20"/>
              </w:rPr>
              <w:t>50</w:t>
            </w:r>
            <w:r w:rsidRPr="00104202">
              <w:rPr>
                <w:sz w:val="20"/>
                <w:szCs w:val="20"/>
              </w:rPr>
              <w:t>/</w:t>
            </w:r>
            <w:proofErr w:type="spellStart"/>
            <w:r w:rsidRPr="00104202">
              <w:rPr>
                <w:sz w:val="20"/>
                <w:szCs w:val="20"/>
              </w:rPr>
              <w:t>hr</w:t>
            </w:r>
            <w:proofErr w:type="spellEnd"/>
            <w:r w:rsidRPr="00104202">
              <w:rPr>
                <w:sz w:val="20"/>
                <w:szCs w:val="20"/>
              </w:rPr>
              <w:t xml:space="preserve"> + </w:t>
            </w:r>
            <w:r w:rsidR="00044289" w:rsidRPr="001F3C8E">
              <w:rPr>
                <w:sz w:val="20"/>
                <w:szCs w:val="20"/>
              </w:rPr>
              <w:t>40</w:t>
            </w:r>
            <w:r w:rsidRPr="00104202">
              <w:rPr>
                <w:sz w:val="20"/>
                <w:szCs w:val="20"/>
              </w:rPr>
              <w:t>% fringe = $</w:t>
            </w:r>
            <w:r w:rsidR="00C916F0" w:rsidRPr="001F3C8E">
              <w:rPr>
                <w:sz w:val="20"/>
                <w:szCs w:val="20"/>
              </w:rPr>
              <w:t>1,750</w:t>
            </w:r>
            <w:r w:rsidRPr="00104202">
              <w:rPr>
                <w:sz w:val="20"/>
                <w:szCs w:val="20"/>
              </w:rPr>
              <w:t xml:space="preserve">). </w:t>
            </w:r>
          </w:p>
          <w:p w14:paraId="129FD141" w14:textId="74E2333A" w:rsidR="00AD3D4E" w:rsidRPr="001F3C8E" w:rsidRDefault="000A3E71" w:rsidP="00B05C90">
            <w:pPr>
              <w:spacing w:after="0"/>
              <w:jc w:val="left"/>
              <w:rPr>
                <w:sz w:val="20"/>
                <w:szCs w:val="20"/>
                <w:u w:val="single"/>
              </w:rPr>
            </w:pPr>
            <w:r w:rsidRPr="001F3C8E">
              <w:rPr>
                <w:sz w:val="20"/>
                <w:szCs w:val="20"/>
                <w:u w:val="single"/>
              </w:rPr>
              <w:t>Contractual Costs: $</w:t>
            </w:r>
            <w:r w:rsidR="00163AFC" w:rsidRPr="001F3C8E">
              <w:rPr>
                <w:sz w:val="20"/>
                <w:szCs w:val="20"/>
                <w:u w:val="single"/>
              </w:rPr>
              <w:t>29,400</w:t>
            </w:r>
            <w:r w:rsidRPr="001F3C8E">
              <w:rPr>
                <w:sz w:val="20"/>
                <w:szCs w:val="20"/>
                <w:u w:val="single"/>
              </w:rPr>
              <w:t xml:space="preserve"> </w:t>
            </w:r>
          </w:p>
          <w:p w14:paraId="56964E3F" w14:textId="59244001" w:rsidR="00CB12B2" w:rsidRPr="001F3C8E" w:rsidRDefault="00C916F0" w:rsidP="00B05C90">
            <w:pPr>
              <w:spacing w:after="0"/>
              <w:jc w:val="left"/>
              <w:rPr>
                <w:sz w:val="20"/>
                <w:szCs w:val="20"/>
              </w:rPr>
            </w:pPr>
            <w:r w:rsidRPr="001F3C8E">
              <w:rPr>
                <w:sz w:val="20"/>
                <w:szCs w:val="20"/>
              </w:rPr>
              <w:t xml:space="preserve">ABCA update and finalization (30 </w:t>
            </w:r>
            <w:proofErr w:type="spellStart"/>
            <w:r w:rsidRPr="001F3C8E">
              <w:rPr>
                <w:sz w:val="20"/>
                <w:szCs w:val="20"/>
              </w:rPr>
              <w:t>hrs</w:t>
            </w:r>
            <w:proofErr w:type="spellEnd"/>
            <w:r w:rsidRPr="001F3C8E">
              <w:rPr>
                <w:sz w:val="20"/>
                <w:szCs w:val="20"/>
              </w:rPr>
              <w:t xml:space="preserve"> x $210/</w:t>
            </w:r>
            <w:proofErr w:type="spellStart"/>
            <w:r w:rsidRPr="001F3C8E">
              <w:rPr>
                <w:sz w:val="20"/>
                <w:szCs w:val="20"/>
              </w:rPr>
              <w:t>hr</w:t>
            </w:r>
            <w:proofErr w:type="spellEnd"/>
            <w:r w:rsidRPr="001F3C8E">
              <w:rPr>
                <w:sz w:val="20"/>
                <w:szCs w:val="20"/>
              </w:rPr>
              <w:t xml:space="preserve"> = $6,300); Remedial design documents (30 </w:t>
            </w:r>
            <w:proofErr w:type="spellStart"/>
            <w:r w:rsidRPr="001F3C8E">
              <w:rPr>
                <w:sz w:val="20"/>
                <w:szCs w:val="20"/>
              </w:rPr>
              <w:t>hrs</w:t>
            </w:r>
            <w:proofErr w:type="spellEnd"/>
            <w:r w:rsidRPr="001F3C8E">
              <w:rPr>
                <w:sz w:val="20"/>
                <w:szCs w:val="20"/>
              </w:rPr>
              <w:t xml:space="preserve"> x $210/</w:t>
            </w:r>
            <w:proofErr w:type="spellStart"/>
            <w:r w:rsidRPr="001F3C8E">
              <w:rPr>
                <w:sz w:val="20"/>
                <w:szCs w:val="20"/>
              </w:rPr>
              <w:t>hr</w:t>
            </w:r>
            <w:proofErr w:type="spellEnd"/>
            <w:r w:rsidRPr="001F3C8E">
              <w:rPr>
                <w:sz w:val="20"/>
                <w:szCs w:val="20"/>
              </w:rPr>
              <w:t xml:space="preserve"> = $6,300); Permitting support and planning for soil conservation district (30 </w:t>
            </w:r>
            <w:proofErr w:type="spellStart"/>
            <w:r w:rsidRPr="001F3C8E">
              <w:rPr>
                <w:sz w:val="20"/>
                <w:szCs w:val="20"/>
              </w:rPr>
              <w:t>hrs</w:t>
            </w:r>
            <w:proofErr w:type="spellEnd"/>
            <w:r w:rsidRPr="001F3C8E">
              <w:rPr>
                <w:sz w:val="20"/>
                <w:szCs w:val="20"/>
              </w:rPr>
              <w:t xml:space="preserve"> x $210/</w:t>
            </w:r>
            <w:proofErr w:type="spellStart"/>
            <w:r w:rsidRPr="001F3C8E">
              <w:rPr>
                <w:sz w:val="20"/>
                <w:szCs w:val="20"/>
              </w:rPr>
              <w:t>hr</w:t>
            </w:r>
            <w:proofErr w:type="spellEnd"/>
            <w:r w:rsidRPr="001F3C8E">
              <w:rPr>
                <w:sz w:val="20"/>
                <w:szCs w:val="20"/>
              </w:rPr>
              <w:t xml:space="preserve"> = $6,300);</w:t>
            </w:r>
            <w:r w:rsidR="00163AFC" w:rsidRPr="001F3C8E">
              <w:rPr>
                <w:sz w:val="20"/>
                <w:szCs w:val="20"/>
              </w:rPr>
              <w:t xml:space="preserve"> Develop </w:t>
            </w:r>
            <w:r w:rsidR="00806684" w:rsidRPr="001F3C8E">
              <w:rPr>
                <w:sz w:val="20"/>
                <w:szCs w:val="20"/>
              </w:rPr>
              <w:t>Site</w:t>
            </w:r>
            <w:r w:rsidR="00163AFC" w:rsidRPr="001F3C8E">
              <w:rPr>
                <w:sz w:val="20"/>
                <w:szCs w:val="20"/>
              </w:rPr>
              <w:t xml:space="preserve"> workplans for disposal (20 </w:t>
            </w:r>
            <w:proofErr w:type="spellStart"/>
            <w:r w:rsidR="00163AFC" w:rsidRPr="001F3C8E">
              <w:rPr>
                <w:sz w:val="20"/>
                <w:szCs w:val="20"/>
              </w:rPr>
              <w:t>hrs</w:t>
            </w:r>
            <w:proofErr w:type="spellEnd"/>
            <w:r w:rsidR="00163AFC" w:rsidRPr="001F3C8E">
              <w:rPr>
                <w:sz w:val="20"/>
                <w:szCs w:val="20"/>
              </w:rPr>
              <w:t xml:space="preserve"> x $210/</w:t>
            </w:r>
            <w:proofErr w:type="spellStart"/>
            <w:r w:rsidR="00163AFC" w:rsidRPr="001F3C8E">
              <w:rPr>
                <w:sz w:val="20"/>
                <w:szCs w:val="20"/>
              </w:rPr>
              <w:t>hr</w:t>
            </w:r>
            <w:proofErr w:type="spellEnd"/>
            <w:r w:rsidR="00163AFC" w:rsidRPr="001F3C8E">
              <w:rPr>
                <w:sz w:val="20"/>
                <w:szCs w:val="20"/>
              </w:rPr>
              <w:t xml:space="preserve"> = $4,200</w:t>
            </w:r>
            <w:proofErr w:type="gramStart"/>
            <w:r w:rsidR="00163AFC" w:rsidRPr="001F3C8E">
              <w:rPr>
                <w:sz w:val="20"/>
                <w:szCs w:val="20"/>
              </w:rPr>
              <w:t>);Final</w:t>
            </w:r>
            <w:proofErr w:type="gramEnd"/>
            <w:r w:rsidR="00163AFC" w:rsidRPr="001F3C8E">
              <w:rPr>
                <w:sz w:val="20"/>
                <w:szCs w:val="20"/>
              </w:rPr>
              <w:t xml:space="preserve"> design and </w:t>
            </w:r>
            <w:r w:rsidR="003C78BD" w:rsidRPr="001F3C8E">
              <w:rPr>
                <w:sz w:val="20"/>
                <w:szCs w:val="20"/>
              </w:rPr>
              <w:t>coor</w:t>
            </w:r>
            <w:r w:rsidR="000038B8" w:rsidRPr="001F3C8E">
              <w:rPr>
                <w:sz w:val="20"/>
                <w:szCs w:val="20"/>
              </w:rPr>
              <w:t>d</w:t>
            </w:r>
            <w:r w:rsidR="003C78BD" w:rsidRPr="001F3C8E">
              <w:rPr>
                <w:sz w:val="20"/>
                <w:szCs w:val="20"/>
              </w:rPr>
              <w:t xml:space="preserve">ination </w:t>
            </w:r>
            <w:r w:rsidR="00163AFC" w:rsidRPr="001F3C8E">
              <w:rPr>
                <w:sz w:val="20"/>
                <w:szCs w:val="20"/>
              </w:rPr>
              <w:t xml:space="preserve">with contractor (20 </w:t>
            </w:r>
            <w:proofErr w:type="spellStart"/>
            <w:r w:rsidR="00163AFC" w:rsidRPr="001F3C8E">
              <w:rPr>
                <w:sz w:val="20"/>
                <w:szCs w:val="20"/>
              </w:rPr>
              <w:t>hrs</w:t>
            </w:r>
            <w:proofErr w:type="spellEnd"/>
            <w:r w:rsidR="00163AFC" w:rsidRPr="001F3C8E">
              <w:rPr>
                <w:sz w:val="20"/>
                <w:szCs w:val="20"/>
              </w:rPr>
              <w:t xml:space="preserve"> x $210/</w:t>
            </w:r>
            <w:proofErr w:type="spellStart"/>
            <w:r w:rsidR="00163AFC" w:rsidRPr="001F3C8E">
              <w:rPr>
                <w:sz w:val="20"/>
                <w:szCs w:val="20"/>
              </w:rPr>
              <w:t>hr</w:t>
            </w:r>
            <w:proofErr w:type="spellEnd"/>
            <w:r w:rsidR="00163AFC" w:rsidRPr="001F3C8E">
              <w:rPr>
                <w:sz w:val="20"/>
                <w:szCs w:val="20"/>
              </w:rPr>
              <w:t xml:space="preserve"> = $4,200)</w:t>
            </w:r>
          </w:p>
          <w:p w14:paraId="1BA2F13E" w14:textId="77777777" w:rsidR="0024759A" w:rsidRPr="001F3C8E" w:rsidRDefault="0024759A" w:rsidP="00B05C90">
            <w:pPr>
              <w:spacing w:after="0"/>
              <w:jc w:val="left"/>
              <w:rPr>
                <w:sz w:val="20"/>
                <w:szCs w:val="20"/>
                <w:u w:val="single"/>
              </w:rPr>
            </w:pPr>
            <w:r w:rsidRPr="001F3C8E">
              <w:rPr>
                <w:sz w:val="20"/>
                <w:szCs w:val="20"/>
                <w:u w:val="single"/>
              </w:rPr>
              <w:t>Construction Costs: $18,000</w:t>
            </w:r>
          </w:p>
          <w:p w14:paraId="37C8F831" w14:textId="58836E1E" w:rsidR="0024759A" w:rsidRPr="00104202" w:rsidRDefault="0024759A" w:rsidP="001F3C8E">
            <w:pPr>
              <w:spacing w:after="0"/>
              <w:jc w:val="left"/>
              <w:rPr>
                <w:sz w:val="20"/>
                <w:szCs w:val="20"/>
              </w:rPr>
            </w:pPr>
            <w:r w:rsidRPr="001F3C8E">
              <w:rPr>
                <w:sz w:val="20"/>
                <w:szCs w:val="20"/>
              </w:rPr>
              <w:t xml:space="preserve">Mobilization/demobilization, </w:t>
            </w:r>
            <w:r w:rsidR="00806684" w:rsidRPr="001F3C8E">
              <w:rPr>
                <w:sz w:val="20"/>
                <w:szCs w:val="20"/>
              </w:rPr>
              <w:t>Site</w:t>
            </w:r>
            <w:r w:rsidRPr="001F3C8E">
              <w:rPr>
                <w:sz w:val="20"/>
                <w:szCs w:val="20"/>
              </w:rPr>
              <w:t xml:space="preserve"> preparation (120 </w:t>
            </w:r>
            <w:proofErr w:type="spellStart"/>
            <w:r w:rsidRPr="001F3C8E">
              <w:rPr>
                <w:sz w:val="20"/>
                <w:szCs w:val="20"/>
              </w:rPr>
              <w:t>hrs</w:t>
            </w:r>
            <w:proofErr w:type="spellEnd"/>
            <w:r w:rsidRPr="001F3C8E">
              <w:rPr>
                <w:sz w:val="20"/>
                <w:szCs w:val="20"/>
              </w:rPr>
              <w:t xml:space="preserve"> x $150/</w:t>
            </w:r>
            <w:proofErr w:type="spellStart"/>
            <w:r w:rsidRPr="001F3C8E">
              <w:rPr>
                <w:sz w:val="20"/>
                <w:szCs w:val="20"/>
              </w:rPr>
              <w:t>hr</w:t>
            </w:r>
            <w:proofErr w:type="spellEnd"/>
            <w:r w:rsidRPr="001F3C8E">
              <w:rPr>
                <w:sz w:val="20"/>
                <w:szCs w:val="20"/>
              </w:rPr>
              <w:t xml:space="preserve"> = $18,000)</w:t>
            </w:r>
          </w:p>
        </w:tc>
      </w:tr>
      <w:tr w:rsidR="000154B4" w:rsidRPr="00BD6E47" w14:paraId="78B837D7" w14:textId="77777777" w:rsidTr="001F3C8E">
        <w:trPr>
          <w:trHeight w:val="260"/>
          <w:jc w:val="center"/>
        </w:trPr>
        <w:tc>
          <w:tcPr>
            <w:tcW w:w="1255" w:type="dxa"/>
            <w:vAlign w:val="center"/>
          </w:tcPr>
          <w:p w14:paraId="309EB530" w14:textId="0EFF92B6" w:rsidR="00CB12B2" w:rsidRPr="00104202" w:rsidRDefault="000154B4" w:rsidP="00F53780">
            <w:pPr>
              <w:jc w:val="left"/>
              <w:rPr>
                <w:b/>
                <w:bCs/>
                <w:sz w:val="20"/>
                <w:szCs w:val="20"/>
              </w:rPr>
            </w:pPr>
            <w:r w:rsidRPr="00104202">
              <w:rPr>
                <w:b/>
                <w:bCs/>
                <w:sz w:val="20"/>
                <w:szCs w:val="20"/>
              </w:rPr>
              <w:t>4. Site Cleanup</w:t>
            </w:r>
          </w:p>
        </w:tc>
        <w:tc>
          <w:tcPr>
            <w:tcW w:w="10175" w:type="dxa"/>
            <w:vAlign w:val="center"/>
          </w:tcPr>
          <w:p w14:paraId="7429A2B9" w14:textId="0E817468" w:rsidR="00AD3D4E" w:rsidRPr="001F3C8E" w:rsidRDefault="0051640F" w:rsidP="00B05C90">
            <w:pPr>
              <w:spacing w:after="0"/>
              <w:jc w:val="left"/>
              <w:rPr>
                <w:sz w:val="20"/>
                <w:szCs w:val="20"/>
                <w:u w:val="single"/>
              </w:rPr>
            </w:pPr>
            <w:r w:rsidRPr="001F3C8E">
              <w:rPr>
                <w:sz w:val="20"/>
                <w:szCs w:val="20"/>
                <w:u w:val="single"/>
              </w:rPr>
              <w:t>Personnel and Fringe Total = $</w:t>
            </w:r>
            <w:r w:rsidR="001D67B9" w:rsidRPr="001F3C8E">
              <w:rPr>
                <w:sz w:val="20"/>
                <w:szCs w:val="20"/>
                <w:u w:val="single"/>
              </w:rPr>
              <w:t>11,200</w:t>
            </w:r>
            <w:r w:rsidRPr="001F3C8E">
              <w:rPr>
                <w:sz w:val="20"/>
                <w:szCs w:val="20"/>
                <w:u w:val="single"/>
              </w:rPr>
              <w:t xml:space="preserve"> (Personnel = $</w:t>
            </w:r>
            <w:r w:rsidR="001D67B9" w:rsidRPr="001F3C8E">
              <w:rPr>
                <w:sz w:val="20"/>
                <w:szCs w:val="20"/>
                <w:u w:val="single"/>
              </w:rPr>
              <w:t>8,000</w:t>
            </w:r>
            <w:r w:rsidRPr="001F3C8E">
              <w:rPr>
                <w:sz w:val="20"/>
                <w:szCs w:val="20"/>
                <w:u w:val="single"/>
              </w:rPr>
              <w:t xml:space="preserve"> + Fringe </w:t>
            </w:r>
            <w:r w:rsidR="0074788D" w:rsidRPr="001F3C8E">
              <w:rPr>
                <w:sz w:val="20"/>
                <w:szCs w:val="20"/>
                <w:u w:val="single"/>
              </w:rPr>
              <w:t>[</w:t>
            </w:r>
            <w:r w:rsidR="00044289" w:rsidRPr="001F3C8E">
              <w:rPr>
                <w:sz w:val="20"/>
                <w:szCs w:val="20"/>
                <w:u w:val="single"/>
              </w:rPr>
              <w:t>40</w:t>
            </w:r>
            <w:r w:rsidRPr="001F3C8E">
              <w:rPr>
                <w:sz w:val="20"/>
                <w:szCs w:val="20"/>
                <w:u w:val="single"/>
              </w:rPr>
              <w:t>%</w:t>
            </w:r>
            <w:r w:rsidR="0074788D" w:rsidRPr="001F3C8E">
              <w:rPr>
                <w:sz w:val="20"/>
                <w:szCs w:val="20"/>
                <w:u w:val="single"/>
              </w:rPr>
              <w:t>]</w:t>
            </w:r>
            <w:r w:rsidRPr="001F3C8E">
              <w:rPr>
                <w:sz w:val="20"/>
                <w:szCs w:val="20"/>
                <w:u w:val="single"/>
              </w:rPr>
              <w:t xml:space="preserve"> = $</w:t>
            </w:r>
            <w:r w:rsidR="001D67B9" w:rsidRPr="001F3C8E">
              <w:rPr>
                <w:sz w:val="20"/>
                <w:szCs w:val="20"/>
                <w:u w:val="single"/>
              </w:rPr>
              <w:t>3,200</w:t>
            </w:r>
            <w:r w:rsidRPr="001F3C8E">
              <w:rPr>
                <w:sz w:val="20"/>
                <w:szCs w:val="20"/>
                <w:u w:val="single"/>
              </w:rPr>
              <w:t xml:space="preserve">) </w:t>
            </w:r>
          </w:p>
          <w:p w14:paraId="2DA4B49D" w14:textId="63F2FE1F" w:rsidR="00BC7562" w:rsidRPr="001F3C8E" w:rsidRDefault="0051640F" w:rsidP="00B05C90">
            <w:pPr>
              <w:spacing w:after="0"/>
              <w:jc w:val="left"/>
              <w:rPr>
                <w:sz w:val="20"/>
                <w:szCs w:val="20"/>
              </w:rPr>
            </w:pPr>
            <w:r w:rsidRPr="00104202">
              <w:rPr>
                <w:sz w:val="20"/>
                <w:szCs w:val="20"/>
              </w:rPr>
              <w:t xml:space="preserve">Oversee </w:t>
            </w:r>
            <w:r w:rsidR="00643782" w:rsidRPr="001F3C8E">
              <w:rPr>
                <w:sz w:val="20"/>
                <w:szCs w:val="20"/>
              </w:rPr>
              <w:t>LSRP</w:t>
            </w:r>
            <w:r w:rsidR="000038B8" w:rsidRPr="001F3C8E">
              <w:rPr>
                <w:sz w:val="20"/>
                <w:szCs w:val="20"/>
              </w:rPr>
              <w:t xml:space="preserve"> and contractor</w:t>
            </w:r>
            <w:r w:rsidRPr="00104202">
              <w:rPr>
                <w:sz w:val="20"/>
                <w:szCs w:val="20"/>
              </w:rPr>
              <w:t xml:space="preserve">, including </w:t>
            </w:r>
            <w:r w:rsidR="00806684" w:rsidRPr="001F3C8E">
              <w:rPr>
                <w:sz w:val="20"/>
                <w:szCs w:val="20"/>
              </w:rPr>
              <w:t>Site</w:t>
            </w:r>
            <w:r w:rsidRPr="00104202">
              <w:rPr>
                <w:sz w:val="20"/>
                <w:szCs w:val="20"/>
              </w:rPr>
              <w:t xml:space="preserve"> visits, meetings and correspondence (80 </w:t>
            </w:r>
            <w:proofErr w:type="spellStart"/>
            <w:r w:rsidRPr="00104202">
              <w:rPr>
                <w:sz w:val="20"/>
                <w:szCs w:val="20"/>
              </w:rPr>
              <w:t>hrs</w:t>
            </w:r>
            <w:proofErr w:type="spellEnd"/>
            <w:r w:rsidRPr="00104202">
              <w:rPr>
                <w:sz w:val="20"/>
                <w:szCs w:val="20"/>
              </w:rPr>
              <w:t xml:space="preserve"> x $</w:t>
            </w:r>
            <w:r w:rsidR="00044289" w:rsidRPr="001F3C8E">
              <w:rPr>
                <w:sz w:val="20"/>
                <w:szCs w:val="20"/>
              </w:rPr>
              <w:t>50</w:t>
            </w:r>
            <w:r w:rsidRPr="00104202">
              <w:rPr>
                <w:sz w:val="20"/>
                <w:szCs w:val="20"/>
              </w:rPr>
              <w:t>/</w:t>
            </w:r>
            <w:proofErr w:type="spellStart"/>
            <w:r w:rsidRPr="00104202">
              <w:rPr>
                <w:sz w:val="20"/>
                <w:szCs w:val="20"/>
              </w:rPr>
              <w:t>hr</w:t>
            </w:r>
            <w:proofErr w:type="spellEnd"/>
            <w:r w:rsidRPr="00104202">
              <w:rPr>
                <w:sz w:val="20"/>
                <w:szCs w:val="20"/>
              </w:rPr>
              <w:t xml:space="preserve"> + </w:t>
            </w:r>
            <w:r w:rsidR="00044289" w:rsidRPr="001F3C8E">
              <w:rPr>
                <w:sz w:val="20"/>
                <w:szCs w:val="20"/>
              </w:rPr>
              <w:t>40</w:t>
            </w:r>
            <w:r w:rsidRPr="00104202">
              <w:rPr>
                <w:sz w:val="20"/>
                <w:szCs w:val="20"/>
              </w:rPr>
              <w:t>% fringe = $</w:t>
            </w:r>
            <w:r w:rsidR="00BC7562" w:rsidRPr="001F3C8E">
              <w:rPr>
                <w:sz w:val="20"/>
                <w:szCs w:val="20"/>
              </w:rPr>
              <w:t>5,600</w:t>
            </w:r>
            <w:r w:rsidRPr="00104202">
              <w:rPr>
                <w:sz w:val="20"/>
                <w:szCs w:val="20"/>
              </w:rPr>
              <w:t xml:space="preserve">); closeout reporting, regulatory communication, </w:t>
            </w:r>
            <w:r w:rsidR="00A35451" w:rsidRPr="00104202">
              <w:rPr>
                <w:sz w:val="20"/>
                <w:szCs w:val="20"/>
              </w:rPr>
              <w:t>c</w:t>
            </w:r>
            <w:r w:rsidRPr="00104202">
              <w:rPr>
                <w:sz w:val="20"/>
                <w:szCs w:val="20"/>
              </w:rPr>
              <w:t xml:space="preserve">orrespondence (80 </w:t>
            </w:r>
            <w:proofErr w:type="spellStart"/>
            <w:r w:rsidRPr="00104202">
              <w:rPr>
                <w:sz w:val="20"/>
                <w:szCs w:val="20"/>
              </w:rPr>
              <w:t>hrs</w:t>
            </w:r>
            <w:proofErr w:type="spellEnd"/>
            <w:r w:rsidRPr="00104202">
              <w:rPr>
                <w:sz w:val="20"/>
                <w:szCs w:val="20"/>
              </w:rPr>
              <w:t xml:space="preserve"> x $</w:t>
            </w:r>
            <w:r w:rsidR="00044289" w:rsidRPr="001F3C8E">
              <w:rPr>
                <w:sz w:val="20"/>
                <w:szCs w:val="20"/>
              </w:rPr>
              <w:t>50</w:t>
            </w:r>
            <w:r w:rsidRPr="00104202">
              <w:rPr>
                <w:sz w:val="20"/>
                <w:szCs w:val="20"/>
              </w:rPr>
              <w:t>/</w:t>
            </w:r>
            <w:proofErr w:type="spellStart"/>
            <w:r w:rsidRPr="00104202">
              <w:rPr>
                <w:sz w:val="20"/>
                <w:szCs w:val="20"/>
              </w:rPr>
              <w:t>hr</w:t>
            </w:r>
            <w:proofErr w:type="spellEnd"/>
            <w:r w:rsidRPr="00104202">
              <w:rPr>
                <w:sz w:val="20"/>
                <w:szCs w:val="20"/>
              </w:rPr>
              <w:t xml:space="preserve"> + </w:t>
            </w:r>
            <w:r w:rsidR="00044289" w:rsidRPr="001F3C8E">
              <w:rPr>
                <w:sz w:val="20"/>
                <w:szCs w:val="20"/>
              </w:rPr>
              <w:t>40</w:t>
            </w:r>
            <w:r w:rsidRPr="00104202">
              <w:rPr>
                <w:sz w:val="20"/>
                <w:szCs w:val="20"/>
              </w:rPr>
              <w:t>% fringe = $</w:t>
            </w:r>
            <w:r w:rsidR="00BC7562" w:rsidRPr="001F3C8E">
              <w:rPr>
                <w:sz w:val="20"/>
                <w:szCs w:val="20"/>
              </w:rPr>
              <w:t>5,600</w:t>
            </w:r>
            <w:r w:rsidRPr="00104202">
              <w:rPr>
                <w:sz w:val="20"/>
                <w:szCs w:val="20"/>
              </w:rPr>
              <w:t xml:space="preserve">) </w:t>
            </w:r>
          </w:p>
          <w:p w14:paraId="36E246F2" w14:textId="7C0BE205" w:rsidR="00AD3D4E" w:rsidRPr="001F3C8E" w:rsidRDefault="0051640F" w:rsidP="00B05C90">
            <w:pPr>
              <w:spacing w:after="0"/>
              <w:jc w:val="left"/>
              <w:rPr>
                <w:sz w:val="20"/>
                <w:szCs w:val="20"/>
              </w:rPr>
            </w:pPr>
            <w:r w:rsidRPr="001F3C8E">
              <w:rPr>
                <w:sz w:val="20"/>
                <w:szCs w:val="20"/>
                <w:u w:val="single"/>
              </w:rPr>
              <w:t>Contractual Costs: $</w:t>
            </w:r>
            <w:r w:rsidR="00E73B56" w:rsidRPr="001F3C8E">
              <w:rPr>
                <w:sz w:val="20"/>
                <w:szCs w:val="20"/>
                <w:u w:val="single"/>
              </w:rPr>
              <w:t>106,500</w:t>
            </w:r>
            <w:r w:rsidRPr="00104202">
              <w:rPr>
                <w:sz w:val="20"/>
                <w:szCs w:val="20"/>
              </w:rPr>
              <w:t xml:space="preserve"> </w:t>
            </w:r>
          </w:p>
          <w:p w14:paraId="7EB3BBC8" w14:textId="1DCC0E86" w:rsidR="001D67B9" w:rsidRPr="001F3C8E" w:rsidRDefault="00E33966" w:rsidP="00B05C90">
            <w:pPr>
              <w:spacing w:after="0"/>
              <w:jc w:val="left"/>
              <w:rPr>
                <w:sz w:val="20"/>
                <w:szCs w:val="20"/>
              </w:rPr>
            </w:pPr>
            <w:r w:rsidRPr="001F3C8E">
              <w:rPr>
                <w:sz w:val="20"/>
                <w:szCs w:val="20"/>
              </w:rPr>
              <w:t xml:space="preserve">Project contracting and contractor coordination (40 </w:t>
            </w:r>
            <w:proofErr w:type="spellStart"/>
            <w:r w:rsidRPr="001F3C8E">
              <w:rPr>
                <w:sz w:val="20"/>
                <w:szCs w:val="20"/>
              </w:rPr>
              <w:t>hrs</w:t>
            </w:r>
            <w:proofErr w:type="spellEnd"/>
            <w:r w:rsidRPr="001F3C8E">
              <w:rPr>
                <w:sz w:val="20"/>
                <w:szCs w:val="20"/>
              </w:rPr>
              <w:t xml:space="preserve"> x $210/</w:t>
            </w:r>
            <w:proofErr w:type="spellStart"/>
            <w:r w:rsidRPr="001F3C8E">
              <w:rPr>
                <w:sz w:val="20"/>
                <w:szCs w:val="20"/>
              </w:rPr>
              <w:t>hr</w:t>
            </w:r>
            <w:proofErr w:type="spellEnd"/>
            <w:r w:rsidRPr="001F3C8E">
              <w:rPr>
                <w:sz w:val="20"/>
                <w:szCs w:val="20"/>
              </w:rPr>
              <w:t xml:space="preserve"> = $8,400);</w:t>
            </w:r>
            <w:r w:rsidR="00E73B56" w:rsidRPr="001F3C8E">
              <w:rPr>
                <w:sz w:val="20"/>
                <w:szCs w:val="20"/>
              </w:rPr>
              <w:t xml:space="preserve"> Pre-disposal supplemental waste classification laboratory analysis (1 x $26,700), Disposal oversight (10 </w:t>
            </w:r>
            <w:proofErr w:type="spellStart"/>
            <w:r w:rsidR="00E73B56" w:rsidRPr="001F3C8E">
              <w:rPr>
                <w:sz w:val="20"/>
                <w:szCs w:val="20"/>
              </w:rPr>
              <w:t>hrs</w:t>
            </w:r>
            <w:proofErr w:type="spellEnd"/>
            <w:r w:rsidR="00E73B56" w:rsidRPr="001F3C8E">
              <w:rPr>
                <w:sz w:val="20"/>
                <w:szCs w:val="20"/>
              </w:rPr>
              <w:t xml:space="preserve"> x 5 days/week x 4 weeks = 200 </w:t>
            </w:r>
            <w:proofErr w:type="spellStart"/>
            <w:r w:rsidR="00E73B56" w:rsidRPr="001F3C8E">
              <w:rPr>
                <w:sz w:val="20"/>
                <w:szCs w:val="20"/>
              </w:rPr>
              <w:t>hrs</w:t>
            </w:r>
            <w:proofErr w:type="spellEnd"/>
            <w:r w:rsidR="00E73B56" w:rsidRPr="001F3C8E">
              <w:rPr>
                <w:sz w:val="20"/>
                <w:szCs w:val="20"/>
              </w:rPr>
              <w:t xml:space="preserve"> x $210/</w:t>
            </w:r>
            <w:proofErr w:type="spellStart"/>
            <w:r w:rsidR="00E73B56" w:rsidRPr="001F3C8E">
              <w:rPr>
                <w:sz w:val="20"/>
                <w:szCs w:val="20"/>
              </w:rPr>
              <w:t>hr</w:t>
            </w:r>
            <w:proofErr w:type="spellEnd"/>
            <w:r w:rsidR="00E73B56" w:rsidRPr="001F3C8E">
              <w:rPr>
                <w:sz w:val="20"/>
                <w:szCs w:val="20"/>
              </w:rPr>
              <w:t xml:space="preserve"> = $42,000); Progress reporting (100 </w:t>
            </w:r>
            <w:proofErr w:type="spellStart"/>
            <w:r w:rsidR="00E73B56" w:rsidRPr="001F3C8E">
              <w:rPr>
                <w:sz w:val="20"/>
                <w:szCs w:val="20"/>
              </w:rPr>
              <w:t>hrs</w:t>
            </w:r>
            <w:proofErr w:type="spellEnd"/>
            <w:r w:rsidR="00E73B56" w:rsidRPr="001F3C8E">
              <w:rPr>
                <w:sz w:val="20"/>
                <w:szCs w:val="20"/>
              </w:rPr>
              <w:t xml:space="preserve"> x $210/</w:t>
            </w:r>
            <w:proofErr w:type="spellStart"/>
            <w:r w:rsidR="00E73B56" w:rsidRPr="001F3C8E">
              <w:rPr>
                <w:sz w:val="20"/>
                <w:szCs w:val="20"/>
              </w:rPr>
              <w:t>hr</w:t>
            </w:r>
            <w:proofErr w:type="spellEnd"/>
            <w:r w:rsidR="00E73B56" w:rsidRPr="001F3C8E">
              <w:rPr>
                <w:sz w:val="20"/>
                <w:szCs w:val="20"/>
              </w:rPr>
              <w:t xml:space="preserve"> = $21,000); Disposal documentation/data management (40 </w:t>
            </w:r>
            <w:proofErr w:type="spellStart"/>
            <w:r w:rsidR="00E73B56" w:rsidRPr="001F3C8E">
              <w:rPr>
                <w:sz w:val="20"/>
                <w:szCs w:val="20"/>
              </w:rPr>
              <w:t>hrs</w:t>
            </w:r>
            <w:proofErr w:type="spellEnd"/>
            <w:r w:rsidR="00E73B56" w:rsidRPr="001F3C8E">
              <w:rPr>
                <w:sz w:val="20"/>
                <w:szCs w:val="20"/>
              </w:rPr>
              <w:t xml:space="preserve"> x $210/</w:t>
            </w:r>
            <w:proofErr w:type="spellStart"/>
            <w:r w:rsidR="00E73B56" w:rsidRPr="001F3C8E">
              <w:rPr>
                <w:sz w:val="20"/>
                <w:szCs w:val="20"/>
              </w:rPr>
              <w:t>hr</w:t>
            </w:r>
            <w:proofErr w:type="spellEnd"/>
            <w:r w:rsidR="00E73B56" w:rsidRPr="001F3C8E">
              <w:rPr>
                <w:sz w:val="20"/>
                <w:szCs w:val="20"/>
              </w:rPr>
              <w:t xml:space="preserve"> = $8,400) </w:t>
            </w:r>
          </w:p>
          <w:p w14:paraId="6499F3D4" w14:textId="2BEBAE3B" w:rsidR="00AD3D4E" w:rsidRPr="001F3C8E" w:rsidRDefault="0051640F" w:rsidP="00B05C90">
            <w:pPr>
              <w:spacing w:after="0"/>
              <w:jc w:val="left"/>
              <w:rPr>
                <w:sz w:val="20"/>
                <w:szCs w:val="20"/>
              </w:rPr>
            </w:pPr>
            <w:r w:rsidRPr="001F3C8E">
              <w:rPr>
                <w:sz w:val="20"/>
                <w:szCs w:val="20"/>
                <w:u w:val="single"/>
              </w:rPr>
              <w:t>Construction Costs: $</w:t>
            </w:r>
            <w:r w:rsidR="007269D5" w:rsidRPr="001F3C8E">
              <w:rPr>
                <w:sz w:val="20"/>
                <w:szCs w:val="20"/>
                <w:u w:val="single"/>
              </w:rPr>
              <w:t>3,708,000</w:t>
            </w:r>
          </w:p>
          <w:p w14:paraId="5399C828" w14:textId="67FAF527" w:rsidR="00CB12B2" w:rsidRPr="00104202" w:rsidRDefault="00E73B56" w:rsidP="001F3C8E">
            <w:pPr>
              <w:spacing w:after="0"/>
              <w:jc w:val="left"/>
              <w:rPr>
                <w:sz w:val="20"/>
                <w:szCs w:val="20"/>
              </w:rPr>
            </w:pPr>
            <w:r w:rsidRPr="001F3C8E">
              <w:rPr>
                <w:sz w:val="20"/>
                <w:szCs w:val="20"/>
              </w:rPr>
              <w:t xml:space="preserve">Mobilization/demobilization </w:t>
            </w:r>
            <w:r w:rsidR="007269D5" w:rsidRPr="001F3C8E">
              <w:rPr>
                <w:sz w:val="20"/>
                <w:szCs w:val="20"/>
              </w:rPr>
              <w:t xml:space="preserve">and administrative costs </w:t>
            </w:r>
            <w:r w:rsidRPr="001F3C8E">
              <w:rPr>
                <w:sz w:val="20"/>
                <w:szCs w:val="20"/>
              </w:rPr>
              <w:t>(1 x $10</w:t>
            </w:r>
            <w:r w:rsidR="007269D5" w:rsidRPr="001F3C8E">
              <w:rPr>
                <w:sz w:val="20"/>
                <w:szCs w:val="20"/>
              </w:rPr>
              <w:t>0</w:t>
            </w:r>
            <w:r w:rsidRPr="001F3C8E">
              <w:rPr>
                <w:sz w:val="20"/>
                <w:szCs w:val="20"/>
              </w:rPr>
              <w:t>,000); Disposal of hazardous soils (7,800 tons x $</w:t>
            </w:r>
            <w:r w:rsidR="00205648" w:rsidRPr="001F3C8E">
              <w:rPr>
                <w:sz w:val="20"/>
                <w:szCs w:val="20"/>
              </w:rPr>
              <w:t>410</w:t>
            </w:r>
            <w:r w:rsidRPr="001F3C8E">
              <w:rPr>
                <w:sz w:val="20"/>
                <w:szCs w:val="20"/>
              </w:rPr>
              <w:t xml:space="preserve">/ton = </w:t>
            </w:r>
            <w:r w:rsidR="00205648" w:rsidRPr="001F3C8E">
              <w:rPr>
                <w:sz w:val="20"/>
                <w:szCs w:val="20"/>
              </w:rPr>
              <w:t xml:space="preserve">$3,198,000); Contractor load-out crew and air monitoring services (1 x </w:t>
            </w:r>
            <w:r w:rsidR="007269D5" w:rsidRPr="001F3C8E">
              <w:rPr>
                <w:sz w:val="20"/>
                <w:szCs w:val="20"/>
              </w:rPr>
              <w:t xml:space="preserve">$410,000) </w:t>
            </w:r>
          </w:p>
        </w:tc>
      </w:tr>
    </w:tbl>
    <w:p w14:paraId="7A7BB90C" w14:textId="3D509C53" w:rsidR="00CE385C" w:rsidRPr="001F3C8E" w:rsidRDefault="00A66BB4" w:rsidP="00F4056D">
      <w:pPr>
        <w:pStyle w:val="Heading2"/>
      </w:pPr>
      <w:r w:rsidRPr="001F3C8E">
        <w:t>3.</w:t>
      </w:r>
      <w:r w:rsidR="00025CC1" w:rsidRPr="001F3C8E">
        <w:t>G</w:t>
      </w:r>
      <w:r w:rsidR="008959B1" w:rsidRPr="001F3C8E">
        <w:t>. Plan to Measure and Evaluate Environmental Progress and Results</w:t>
      </w:r>
    </w:p>
    <w:p w14:paraId="6897DC53" w14:textId="0DAAF4DA" w:rsidR="008D6BB3" w:rsidRPr="001F3C8E" w:rsidRDefault="003122B1" w:rsidP="008D6BB3">
      <w:pPr>
        <w:spacing w:after="0"/>
        <w:rPr>
          <w:szCs w:val="24"/>
        </w:rPr>
      </w:pPr>
      <w:r w:rsidRPr="001F3C8E">
        <w:rPr>
          <w:b/>
          <w:bCs/>
          <w:szCs w:val="24"/>
        </w:rPr>
        <w:t>Mullica will track and evaluate progress monthly</w:t>
      </w:r>
      <w:r w:rsidR="00467F07" w:rsidRPr="001F3C8E">
        <w:rPr>
          <w:szCs w:val="24"/>
        </w:rPr>
        <w:t xml:space="preserve"> utilizing an Excell Gantt chart on a monthly basis</w:t>
      </w:r>
      <w:r w:rsidRPr="001F3C8E">
        <w:rPr>
          <w:szCs w:val="24"/>
        </w:rPr>
        <w:t xml:space="preserve">, </w:t>
      </w:r>
      <w:r w:rsidR="007E06FA" w:rsidRPr="001F3C8E">
        <w:rPr>
          <w:szCs w:val="24"/>
        </w:rPr>
        <w:t xml:space="preserve">in addition to </w:t>
      </w:r>
      <w:r w:rsidRPr="001F3C8E">
        <w:rPr>
          <w:szCs w:val="24"/>
        </w:rPr>
        <w:t xml:space="preserve">coordinating with the </w:t>
      </w:r>
      <w:r w:rsidR="00F13B3A" w:rsidRPr="001F3C8E">
        <w:rPr>
          <w:szCs w:val="24"/>
        </w:rPr>
        <w:t>LSRP</w:t>
      </w:r>
      <w:r w:rsidRPr="001F3C8E">
        <w:rPr>
          <w:szCs w:val="24"/>
        </w:rPr>
        <w:t xml:space="preserve"> and project contractor. It will</w:t>
      </w:r>
      <w:r w:rsidR="00467F07" w:rsidRPr="001F3C8E">
        <w:rPr>
          <w:szCs w:val="24"/>
        </w:rPr>
        <w:t xml:space="preserve"> </w:t>
      </w:r>
      <w:r w:rsidRPr="001F3C8E">
        <w:rPr>
          <w:szCs w:val="24"/>
        </w:rPr>
        <w:t xml:space="preserve">measure/report outputs and other deliverables with quarterly progress reports and in ACRES. Measurement will compare quarterly achievements to output/outcome goals, so that deviations can be identified and corrected as they occur. Measurable cleanup results within the four-year grant period </w:t>
      </w:r>
      <w:proofErr w:type="gramStart"/>
      <w:r w:rsidRPr="001F3C8E">
        <w:rPr>
          <w:szCs w:val="24"/>
        </w:rPr>
        <w:t>are:</w:t>
      </w:r>
      <w:proofErr w:type="gramEnd"/>
      <w:r w:rsidRPr="001F3C8E">
        <w:rPr>
          <w:szCs w:val="24"/>
        </w:rPr>
        <w:t xml:space="preserve"> Removal of approximately </w:t>
      </w:r>
      <w:r w:rsidR="00DA5A1A" w:rsidRPr="001F3C8E">
        <w:rPr>
          <w:szCs w:val="24"/>
        </w:rPr>
        <w:t>7,800 tons</w:t>
      </w:r>
      <w:r w:rsidRPr="001F3C8E">
        <w:rPr>
          <w:szCs w:val="24"/>
        </w:rPr>
        <w:t xml:space="preserve"> of contaminated soil from the Site; decrease in </w:t>
      </w:r>
      <w:r w:rsidR="00DA5A1A" w:rsidRPr="001F3C8E">
        <w:rPr>
          <w:szCs w:val="24"/>
        </w:rPr>
        <w:t>PCB,</w:t>
      </w:r>
      <w:r w:rsidRPr="001F3C8E">
        <w:rPr>
          <w:szCs w:val="24"/>
        </w:rPr>
        <w:t xml:space="preserve"> lead, and other metals in soil </w:t>
      </w:r>
      <w:r w:rsidR="00DA5A1A" w:rsidRPr="001F3C8E">
        <w:rPr>
          <w:szCs w:val="24"/>
        </w:rPr>
        <w:t xml:space="preserve">and sediments, </w:t>
      </w:r>
      <w:r w:rsidRPr="001F3C8E">
        <w:rPr>
          <w:szCs w:val="24"/>
        </w:rPr>
        <w:t xml:space="preserve">and increased floodplain capacity due to environmental restoration. </w:t>
      </w:r>
      <w:r w:rsidR="008D6BB3" w:rsidRPr="001F3C8E">
        <w:rPr>
          <w:szCs w:val="24"/>
        </w:rPr>
        <w:t xml:space="preserve">Output tracking will include completion of key deliverables such as the ABCA, HASP, QAPP, SAP, regulatory permits, procurement actions, staged removal activities, public meetings, and final reporting. </w:t>
      </w:r>
    </w:p>
    <w:p w14:paraId="17194957" w14:textId="2F578BC7" w:rsidR="008D6BB3" w:rsidRPr="001F3C8E" w:rsidRDefault="008D6BB3" w:rsidP="008D6BB3">
      <w:pPr>
        <w:spacing w:after="0"/>
        <w:rPr>
          <w:szCs w:val="24"/>
        </w:rPr>
      </w:pPr>
      <w:r w:rsidRPr="001F3C8E">
        <w:rPr>
          <w:b/>
          <w:bCs/>
          <w:szCs w:val="24"/>
        </w:rPr>
        <w:t xml:space="preserve">Progress will also be evaluated through NJDEP’s regulatory oversight framework, ensuring compliance with </w:t>
      </w:r>
      <w:r w:rsidR="00847467" w:rsidRPr="001F3C8E">
        <w:rPr>
          <w:b/>
          <w:bCs/>
          <w:szCs w:val="24"/>
        </w:rPr>
        <w:t>s</w:t>
      </w:r>
      <w:r w:rsidRPr="001F3C8E">
        <w:rPr>
          <w:b/>
          <w:bCs/>
          <w:szCs w:val="24"/>
        </w:rPr>
        <w:t>tate requirements and confirmation of protectiveness.</w:t>
      </w:r>
      <w:r w:rsidR="008F03BA" w:rsidRPr="001F3C8E">
        <w:rPr>
          <w:szCs w:val="24"/>
        </w:rPr>
        <w:t xml:space="preserve"> </w:t>
      </w:r>
      <w:r w:rsidRPr="001F3C8E">
        <w:rPr>
          <w:szCs w:val="24"/>
        </w:rPr>
        <w:t xml:space="preserve">Mullica will coordinate closely with its </w:t>
      </w:r>
      <w:r w:rsidR="00641EA1" w:rsidRPr="001F3C8E">
        <w:rPr>
          <w:szCs w:val="24"/>
        </w:rPr>
        <w:t>LSRP</w:t>
      </w:r>
      <w:r w:rsidR="008F03BA" w:rsidRPr="001F3C8E">
        <w:rPr>
          <w:szCs w:val="24"/>
        </w:rPr>
        <w:t xml:space="preserve"> an</w:t>
      </w:r>
      <w:r w:rsidRPr="001F3C8E">
        <w:rPr>
          <w:szCs w:val="24"/>
        </w:rPr>
        <w:t>d regulatory agencies to evaluate results and address deviations from planned performance. Final results will be documented in a Cleanup Completion Report demonstrating attainment of cleanup objectives and long-term protectiveness, consistent with Section 3.A(4) of the NOFO.</w:t>
      </w:r>
    </w:p>
    <w:p w14:paraId="314B05F1" w14:textId="4DD3E3BA" w:rsidR="00A94521" w:rsidRPr="001F3C8E" w:rsidRDefault="00A94521" w:rsidP="00B05C90">
      <w:pPr>
        <w:pStyle w:val="Heading1"/>
      </w:pPr>
      <w:r w:rsidRPr="001F3C8E">
        <w:lastRenderedPageBreak/>
        <w:t>4. Programmatic Capability and Past Performance</w:t>
      </w:r>
    </w:p>
    <w:p w14:paraId="6932B642" w14:textId="1EA82A58" w:rsidR="00A94521" w:rsidRPr="001F3C8E" w:rsidRDefault="00237D70" w:rsidP="00F4056D">
      <w:pPr>
        <w:pStyle w:val="Heading2"/>
      </w:pPr>
      <w:r w:rsidRPr="001F3C8E">
        <w:t>Programmatic Capability</w:t>
      </w:r>
    </w:p>
    <w:p w14:paraId="77C25996" w14:textId="371B2DCB" w:rsidR="00CD39A5" w:rsidRPr="001F3C8E" w:rsidRDefault="00A66BB4" w:rsidP="00B05C90">
      <w:pPr>
        <w:pStyle w:val="Heading3"/>
      </w:pPr>
      <w:r w:rsidRPr="001F3C8E">
        <w:t>4.a.</w:t>
      </w:r>
      <w:r w:rsidR="00CD39A5" w:rsidRPr="001F3C8E">
        <w:t xml:space="preserve"> Organizational Structure</w:t>
      </w:r>
      <w:r w:rsidR="00ED034E" w:rsidRPr="001F3C8E">
        <w:t xml:space="preserve"> &amp; 4.b. Description of Key Staff. </w:t>
      </w:r>
    </w:p>
    <w:p w14:paraId="46CFCB4C" w14:textId="64E18B20" w:rsidR="00622D23" w:rsidRPr="001F3C8E" w:rsidRDefault="005D1355" w:rsidP="001F3C8E">
      <w:pPr>
        <w:rPr>
          <w:szCs w:val="24"/>
        </w:rPr>
      </w:pPr>
      <w:r w:rsidRPr="001F3C8E">
        <w:rPr>
          <w:szCs w:val="24"/>
        </w:rPr>
        <w:t xml:space="preserve">Mullica will manage the grant internally and will share </w:t>
      </w:r>
      <w:r w:rsidR="00D56E6B" w:rsidRPr="001F3C8E">
        <w:rPr>
          <w:szCs w:val="24"/>
        </w:rPr>
        <w:t>project</w:t>
      </w:r>
      <w:r w:rsidRPr="001F3C8E">
        <w:rPr>
          <w:szCs w:val="24"/>
        </w:rPr>
        <w:t xml:space="preserve"> </w:t>
      </w:r>
      <w:r w:rsidR="00D56E6B" w:rsidRPr="001F3C8E">
        <w:rPr>
          <w:szCs w:val="24"/>
        </w:rPr>
        <w:t>progress</w:t>
      </w:r>
      <w:r w:rsidR="002C47DF" w:rsidRPr="001F3C8E">
        <w:rPr>
          <w:szCs w:val="24"/>
        </w:rPr>
        <w:t xml:space="preserve"> with its partners </w:t>
      </w:r>
      <w:r w:rsidR="00771C46" w:rsidRPr="001F3C8E">
        <w:rPr>
          <w:szCs w:val="24"/>
        </w:rPr>
        <w:t xml:space="preserve">(see Table </w:t>
      </w:r>
      <w:r w:rsidR="00B7638F" w:rsidRPr="00B7638F">
        <w:rPr>
          <w:szCs w:val="24"/>
        </w:rPr>
        <w:t>7</w:t>
      </w:r>
      <w:r w:rsidR="00771C46" w:rsidRPr="001F3C8E">
        <w:rPr>
          <w:szCs w:val="24"/>
        </w:rPr>
        <w:t xml:space="preserve">) </w:t>
      </w:r>
      <w:r w:rsidR="00F11FF9" w:rsidRPr="001F3C8E">
        <w:rPr>
          <w:szCs w:val="24"/>
        </w:rPr>
        <w:t>plus the NJDEP.</w:t>
      </w:r>
      <w:r w:rsidR="007D21FF" w:rsidRPr="001F3C8E">
        <w:rPr>
          <w:szCs w:val="24"/>
        </w:rPr>
        <w:t xml:space="preserve"> </w:t>
      </w:r>
      <w:r w:rsidR="00622D23" w:rsidRPr="001F3C8E">
        <w:rPr>
          <w:b/>
          <w:bCs/>
          <w:szCs w:val="24"/>
        </w:rPr>
        <w:t>Grant Administrator/Day</w:t>
      </w:r>
      <w:r w:rsidR="00622D23" w:rsidRPr="001F3C8E">
        <w:rPr>
          <w:b/>
          <w:bCs/>
          <w:szCs w:val="24"/>
        </w:rPr>
        <w:noBreakHyphen/>
        <w:t>to</w:t>
      </w:r>
      <w:r w:rsidR="00622D23" w:rsidRPr="001F3C8E">
        <w:rPr>
          <w:b/>
          <w:bCs/>
          <w:szCs w:val="24"/>
        </w:rPr>
        <w:noBreakHyphen/>
        <w:t>Day Manager:</w:t>
      </w:r>
      <w:r w:rsidR="00887E7C" w:rsidRPr="001F3C8E">
        <w:rPr>
          <w:b/>
          <w:bCs/>
          <w:szCs w:val="24"/>
        </w:rPr>
        <w:t xml:space="preserve"> DeAnna DeMarco, Mayor of </w:t>
      </w:r>
      <w:r w:rsidR="008D2DBD" w:rsidRPr="001F3C8E">
        <w:rPr>
          <w:b/>
          <w:bCs/>
          <w:szCs w:val="24"/>
        </w:rPr>
        <w:t>Mullica</w:t>
      </w:r>
      <w:r w:rsidR="006F179B" w:rsidRPr="001F3C8E">
        <w:rPr>
          <w:szCs w:val="24"/>
        </w:rPr>
        <w:t xml:space="preserve"> </w:t>
      </w:r>
      <w:r w:rsidR="007D21FF" w:rsidRPr="001F3C8E">
        <w:rPr>
          <w:szCs w:val="24"/>
        </w:rPr>
        <w:t>will be</w:t>
      </w:r>
      <w:r w:rsidR="006F179B" w:rsidRPr="001F3C8E">
        <w:rPr>
          <w:szCs w:val="24"/>
        </w:rPr>
        <w:t xml:space="preserve"> </w:t>
      </w:r>
      <w:r w:rsidR="00622D23" w:rsidRPr="001F3C8E">
        <w:rPr>
          <w:szCs w:val="24"/>
        </w:rPr>
        <w:t>responsible for schedule, budget, deliverables, ACRES, and quarterly performance reporting.</w:t>
      </w:r>
      <w:r w:rsidR="006E3802" w:rsidRPr="001F3C8E">
        <w:rPr>
          <w:szCs w:val="24"/>
        </w:rPr>
        <w:t xml:space="preserve"> </w:t>
      </w:r>
      <w:r w:rsidR="00897615" w:rsidRPr="001F3C8E">
        <w:rPr>
          <w:szCs w:val="24"/>
        </w:rPr>
        <w:t xml:space="preserve">Mayor DeMarco has </w:t>
      </w:r>
      <w:r w:rsidR="003D5060" w:rsidRPr="001F3C8E">
        <w:rPr>
          <w:szCs w:val="24"/>
        </w:rPr>
        <w:t xml:space="preserve">served as mayor since 2024 and has </w:t>
      </w:r>
      <w:r w:rsidR="0002536A" w:rsidRPr="001F3C8E">
        <w:rPr>
          <w:szCs w:val="24"/>
        </w:rPr>
        <w:t xml:space="preserve">five </w:t>
      </w:r>
      <w:r w:rsidR="003D5060" w:rsidRPr="001F3C8E">
        <w:rPr>
          <w:szCs w:val="24"/>
        </w:rPr>
        <w:t xml:space="preserve">years of experience in community </w:t>
      </w:r>
      <w:r w:rsidR="00E547F0" w:rsidRPr="001F3C8E">
        <w:rPr>
          <w:szCs w:val="24"/>
        </w:rPr>
        <w:t xml:space="preserve">governance. </w:t>
      </w:r>
      <w:r w:rsidR="003A2DD1" w:rsidRPr="001F3C8E">
        <w:rPr>
          <w:b/>
          <w:bCs/>
          <w:szCs w:val="24"/>
        </w:rPr>
        <w:t>Grant Coordinator</w:t>
      </w:r>
      <w:r w:rsidR="003A2DD1" w:rsidRPr="001F3C8E">
        <w:rPr>
          <w:szCs w:val="24"/>
        </w:rPr>
        <w:t>/</w:t>
      </w:r>
      <w:r w:rsidR="00622D23" w:rsidRPr="001F3C8E">
        <w:rPr>
          <w:b/>
          <w:bCs/>
          <w:szCs w:val="24"/>
        </w:rPr>
        <w:t>Financial Management Lead:</w:t>
      </w:r>
      <w:r w:rsidR="00622D23" w:rsidRPr="001F3C8E">
        <w:rPr>
          <w:szCs w:val="24"/>
        </w:rPr>
        <w:t xml:space="preserve"> </w:t>
      </w:r>
      <w:r w:rsidR="00622D23" w:rsidRPr="001F3C8E">
        <w:rPr>
          <w:b/>
          <w:bCs/>
          <w:szCs w:val="24"/>
        </w:rPr>
        <w:t>Dawn Stollenwerk, Chief Financial Officer, Mullica</w:t>
      </w:r>
      <w:r w:rsidR="002465DB" w:rsidRPr="001F3C8E">
        <w:rPr>
          <w:szCs w:val="24"/>
        </w:rPr>
        <w:t xml:space="preserve"> </w:t>
      </w:r>
      <w:r w:rsidR="004B60F4" w:rsidRPr="001F3C8E">
        <w:rPr>
          <w:szCs w:val="24"/>
        </w:rPr>
        <w:t xml:space="preserve">will be </w:t>
      </w:r>
      <w:r w:rsidR="00622D23" w:rsidRPr="001F3C8E">
        <w:rPr>
          <w:szCs w:val="24"/>
        </w:rPr>
        <w:t xml:space="preserve">responsible for </w:t>
      </w:r>
      <w:r w:rsidR="00154DFE" w:rsidRPr="001F3C8E">
        <w:rPr>
          <w:szCs w:val="24"/>
        </w:rPr>
        <w:t xml:space="preserve">cooperative agreement, including drawdowns, reimbursements, federal financial reporting, internal controls, and audit readiness. </w:t>
      </w:r>
      <w:r w:rsidR="0060723A" w:rsidRPr="001F3C8E">
        <w:rPr>
          <w:szCs w:val="24"/>
        </w:rPr>
        <w:t xml:space="preserve">Ms. Stollenwerk </w:t>
      </w:r>
      <w:proofErr w:type="gramStart"/>
      <w:r w:rsidR="0060723A" w:rsidRPr="001F3C8E">
        <w:rPr>
          <w:szCs w:val="24"/>
        </w:rPr>
        <w:t>brings</w:t>
      </w:r>
      <w:proofErr w:type="gramEnd"/>
      <w:r w:rsidR="0060723A" w:rsidRPr="001F3C8E">
        <w:rPr>
          <w:szCs w:val="24"/>
        </w:rPr>
        <w:t xml:space="preserve"> over 30 years of experience in </w:t>
      </w:r>
      <w:r w:rsidR="00796871" w:rsidRPr="001F3C8E">
        <w:rPr>
          <w:szCs w:val="24"/>
        </w:rPr>
        <w:t xml:space="preserve">financial and </w:t>
      </w:r>
      <w:r w:rsidR="0060723A" w:rsidRPr="001F3C8E">
        <w:rPr>
          <w:szCs w:val="24"/>
        </w:rPr>
        <w:t>municipal government</w:t>
      </w:r>
      <w:r w:rsidR="00E735FF" w:rsidRPr="001F3C8E">
        <w:rPr>
          <w:szCs w:val="24"/>
        </w:rPr>
        <w:t xml:space="preserve"> and </w:t>
      </w:r>
      <w:r w:rsidR="0060723A" w:rsidRPr="001F3C8E">
        <w:rPr>
          <w:szCs w:val="24"/>
        </w:rPr>
        <w:t>is a licensed Certified Municipal Finance Officer (CMFO) and a Qualified Purchasing Agent (QPA).</w:t>
      </w:r>
      <w:r w:rsidR="00713374" w:rsidRPr="001F3C8E">
        <w:rPr>
          <w:szCs w:val="24"/>
        </w:rPr>
        <w:t xml:space="preserve"> </w:t>
      </w:r>
      <w:r w:rsidR="00622D23" w:rsidRPr="001F3C8E">
        <w:rPr>
          <w:b/>
          <w:bCs/>
          <w:szCs w:val="24"/>
        </w:rPr>
        <w:t>Environmental Project Director</w:t>
      </w:r>
      <w:r w:rsidR="0013688B" w:rsidRPr="001F3C8E">
        <w:rPr>
          <w:b/>
          <w:bCs/>
          <w:szCs w:val="24"/>
        </w:rPr>
        <w:t xml:space="preserve">: TBD </w:t>
      </w:r>
      <w:r w:rsidR="00622D23" w:rsidRPr="001F3C8E">
        <w:rPr>
          <w:b/>
          <w:bCs/>
          <w:szCs w:val="24"/>
        </w:rPr>
        <w:t>Consultant/LSRP</w:t>
      </w:r>
      <w:r w:rsidR="002465DB" w:rsidRPr="001F3C8E">
        <w:rPr>
          <w:szCs w:val="24"/>
        </w:rPr>
        <w:t xml:space="preserve"> </w:t>
      </w:r>
      <w:r w:rsidR="006F179B" w:rsidRPr="001F3C8E">
        <w:rPr>
          <w:szCs w:val="24"/>
        </w:rPr>
        <w:t xml:space="preserve">- </w:t>
      </w:r>
      <w:r w:rsidR="00622D23" w:rsidRPr="001F3C8E">
        <w:rPr>
          <w:szCs w:val="24"/>
        </w:rPr>
        <w:t xml:space="preserve">leads technical implementation (QAPP/SAP/HASP), contractor procurement support, field oversight, </w:t>
      </w:r>
      <w:r w:rsidR="00D62CDB" w:rsidRPr="001F3C8E">
        <w:rPr>
          <w:szCs w:val="24"/>
        </w:rPr>
        <w:t xml:space="preserve">compliant waste disposal </w:t>
      </w:r>
      <w:r w:rsidR="00892AB7" w:rsidRPr="001F3C8E">
        <w:rPr>
          <w:szCs w:val="24"/>
        </w:rPr>
        <w:t xml:space="preserve">coordination, data evaluation, </w:t>
      </w:r>
      <w:r w:rsidR="00622D23" w:rsidRPr="001F3C8E">
        <w:rPr>
          <w:szCs w:val="24"/>
        </w:rPr>
        <w:t>and certification of cleanup completion</w:t>
      </w:r>
      <w:r w:rsidR="00892AB7" w:rsidRPr="001F3C8E">
        <w:rPr>
          <w:szCs w:val="24"/>
        </w:rPr>
        <w:t xml:space="preserve"> under NJDEP CSRRP requirements</w:t>
      </w:r>
      <w:r w:rsidR="00622D23" w:rsidRPr="001F3C8E">
        <w:rPr>
          <w:szCs w:val="24"/>
        </w:rPr>
        <w:t xml:space="preserve">. </w:t>
      </w:r>
      <w:r w:rsidR="00AA2AF1" w:rsidRPr="001F3C8E">
        <w:rPr>
          <w:b/>
          <w:bCs/>
          <w:szCs w:val="24"/>
        </w:rPr>
        <w:t>Communications Director</w:t>
      </w:r>
      <w:r w:rsidR="00622D23" w:rsidRPr="001F3C8E">
        <w:rPr>
          <w:b/>
          <w:bCs/>
          <w:szCs w:val="24"/>
        </w:rPr>
        <w:t xml:space="preserve"> / Records &amp; Public Notification:</w:t>
      </w:r>
      <w:r w:rsidR="00622D23" w:rsidRPr="001F3C8E">
        <w:rPr>
          <w:szCs w:val="24"/>
        </w:rPr>
        <w:t xml:space="preserve"> </w:t>
      </w:r>
      <w:r w:rsidR="00F66924" w:rsidRPr="001F3C8E">
        <w:rPr>
          <w:b/>
          <w:bCs/>
          <w:szCs w:val="24"/>
        </w:rPr>
        <w:t>Monica Newton</w:t>
      </w:r>
      <w:r w:rsidR="00BE3565" w:rsidRPr="001F3C8E">
        <w:rPr>
          <w:b/>
          <w:bCs/>
          <w:szCs w:val="24"/>
        </w:rPr>
        <w:t>, Acting Municipal Clerk</w:t>
      </w:r>
      <w:r w:rsidR="00BE3565" w:rsidRPr="001F3C8E">
        <w:rPr>
          <w:szCs w:val="24"/>
        </w:rPr>
        <w:t xml:space="preserve"> </w:t>
      </w:r>
      <w:r w:rsidR="006F179B" w:rsidRPr="001F3C8E">
        <w:rPr>
          <w:szCs w:val="24"/>
        </w:rPr>
        <w:t xml:space="preserve">- </w:t>
      </w:r>
      <w:r w:rsidR="00622D23" w:rsidRPr="001F3C8E">
        <w:rPr>
          <w:szCs w:val="24"/>
        </w:rPr>
        <w:t xml:space="preserve">maintains </w:t>
      </w:r>
      <w:r w:rsidR="002A6587" w:rsidRPr="001F3C8E">
        <w:rPr>
          <w:szCs w:val="24"/>
        </w:rPr>
        <w:t xml:space="preserve">public notifications, meeting coordination, documentation of community engagement activities, and maintenance of the administrative record consistent with NOFO and NJDEP requirements. </w:t>
      </w:r>
      <w:r w:rsidR="00D3726D" w:rsidRPr="001F3C8E">
        <w:rPr>
          <w:szCs w:val="24"/>
        </w:rPr>
        <w:t xml:space="preserve">Ms. Newton </w:t>
      </w:r>
      <w:r w:rsidR="00464250" w:rsidRPr="001F3C8E">
        <w:rPr>
          <w:szCs w:val="24"/>
        </w:rPr>
        <w:t xml:space="preserve">has </w:t>
      </w:r>
      <w:r w:rsidR="00D90CB3" w:rsidRPr="001F3C8E">
        <w:rPr>
          <w:szCs w:val="24"/>
        </w:rPr>
        <w:t>10+</w:t>
      </w:r>
      <w:r w:rsidR="00464250" w:rsidRPr="001F3C8E">
        <w:rPr>
          <w:szCs w:val="24"/>
        </w:rPr>
        <w:t xml:space="preserve"> years of </w:t>
      </w:r>
      <w:r w:rsidR="002E7C3D" w:rsidRPr="001F3C8E">
        <w:rPr>
          <w:szCs w:val="24"/>
        </w:rPr>
        <w:t xml:space="preserve">experience in </w:t>
      </w:r>
      <w:r w:rsidR="00994618" w:rsidRPr="001F3C8E">
        <w:rPr>
          <w:szCs w:val="24"/>
        </w:rPr>
        <w:t xml:space="preserve">fiscal </w:t>
      </w:r>
      <w:r w:rsidR="002E7C3D" w:rsidRPr="001F3C8E">
        <w:rPr>
          <w:szCs w:val="24"/>
        </w:rPr>
        <w:t>management</w:t>
      </w:r>
      <w:r w:rsidR="00743B65" w:rsidRPr="001F3C8E">
        <w:rPr>
          <w:szCs w:val="24"/>
        </w:rPr>
        <w:t xml:space="preserve">/analysis and has played a key role in </w:t>
      </w:r>
      <w:r w:rsidR="00994618" w:rsidRPr="001F3C8E">
        <w:rPr>
          <w:szCs w:val="24"/>
        </w:rPr>
        <w:t xml:space="preserve">process </w:t>
      </w:r>
      <w:r w:rsidR="00743B65" w:rsidRPr="001F3C8E">
        <w:rPr>
          <w:szCs w:val="24"/>
        </w:rPr>
        <w:t xml:space="preserve">optimization within </w:t>
      </w:r>
      <w:r w:rsidR="008B48B9" w:rsidRPr="001F3C8E">
        <w:rPr>
          <w:szCs w:val="24"/>
        </w:rPr>
        <w:t>Mullica</w:t>
      </w:r>
      <w:r w:rsidR="00743B65" w:rsidRPr="001F3C8E">
        <w:rPr>
          <w:szCs w:val="24"/>
        </w:rPr>
        <w:t xml:space="preserve">. </w:t>
      </w:r>
      <w:r w:rsidR="00F16B08" w:rsidRPr="001F3C8E">
        <w:rPr>
          <w:szCs w:val="24"/>
        </w:rPr>
        <w:t xml:space="preserve"> </w:t>
      </w:r>
    </w:p>
    <w:p w14:paraId="2E99902F" w14:textId="4F011382" w:rsidR="00CD39A5" w:rsidRPr="001F3C8E" w:rsidRDefault="00A66BB4" w:rsidP="00B05C90">
      <w:pPr>
        <w:pStyle w:val="Heading3"/>
      </w:pPr>
      <w:r w:rsidRPr="001F3C8E">
        <w:t>4.</w:t>
      </w:r>
      <w:r w:rsidR="00EC0017" w:rsidRPr="001F3C8E">
        <w:t>c.</w:t>
      </w:r>
      <w:r w:rsidR="00CD39A5" w:rsidRPr="001F3C8E">
        <w:t xml:space="preserve"> Acquiring Additional Resources</w:t>
      </w:r>
    </w:p>
    <w:p w14:paraId="441A2195" w14:textId="41F0BEAE" w:rsidR="00207AD9" w:rsidRPr="001F3C8E" w:rsidRDefault="00207AD9" w:rsidP="004E007D">
      <w:pPr>
        <w:spacing w:after="0"/>
        <w:rPr>
          <w:szCs w:val="24"/>
        </w:rPr>
      </w:pPr>
      <w:r w:rsidRPr="001F3C8E">
        <w:rPr>
          <w:szCs w:val="24"/>
        </w:rPr>
        <w:t xml:space="preserve">Mullica will use EPA Cleanup Grant funding as a </w:t>
      </w:r>
      <w:r w:rsidRPr="001F3C8E">
        <w:rPr>
          <w:b/>
          <w:bCs/>
          <w:szCs w:val="24"/>
        </w:rPr>
        <w:t>catalyst to secure and coordinate additional financial, technical, and institutional resources</w:t>
      </w:r>
      <w:r w:rsidRPr="001F3C8E">
        <w:rPr>
          <w:szCs w:val="24"/>
        </w:rPr>
        <w:t xml:space="preserve"> necessary to complete remediation and advance reuse of the Perona Scrapyard. </w:t>
      </w:r>
      <w:r w:rsidR="00502199" w:rsidRPr="001F3C8E">
        <w:rPr>
          <w:szCs w:val="24"/>
        </w:rPr>
        <w:t>Mullica</w:t>
      </w:r>
      <w:r w:rsidRPr="001F3C8E">
        <w:rPr>
          <w:szCs w:val="24"/>
        </w:rPr>
        <w:t xml:space="preserve"> will continue to pursue </w:t>
      </w:r>
      <w:r w:rsidRPr="001F3C8E">
        <w:rPr>
          <w:b/>
          <w:bCs/>
          <w:szCs w:val="24"/>
        </w:rPr>
        <w:t>NJDEP/NJEDA HDSRF funding</w:t>
      </w:r>
      <w:r w:rsidRPr="001F3C8E">
        <w:rPr>
          <w:szCs w:val="24"/>
        </w:rPr>
        <w:t xml:space="preserve"> to support the Remedial Investigation and associated regulatory documentation. EPA Cleanup Grant funding will allow these resources to be applied efficiently by addressing source materials and exposure pathways that limit the effectiveness of assessment-only funding.</w:t>
      </w:r>
      <w:r w:rsidR="00B43477" w:rsidRPr="001F3C8E">
        <w:rPr>
          <w:szCs w:val="24"/>
        </w:rPr>
        <w:t xml:space="preserve"> </w:t>
      </w:r>
      <w:r w:rsidRPr="001F3C8E">
        <w:rPr>
          <w:szCs w:val="24"/>
        </w:rPr>
        <w:t xml:space="preserve">Mullica </w:t>
      </w:r>
      <w:r w:rsidR="00500BF0" w:rsidRPr="001F3C8E">
        <w:rPr>
          <w:szCs w:val="24"/>
        </w:rPr>
        <w:t xml:space="preserve">has </w:t>
      </w:r>
      <w:r w:rsidRPr="001F3C8E">
        <w:rPr>
          <w:b/>
          <w:bCs/>
          <w:szCs w:val="24"/>
        </w:rPr>
        <w:t>competitively procure</w:t>
      </w:r>
      <w:r w:rsidR="00500BF0" w:rsidRPr="001F3C8E">
        <w:rPr>
          <w:b/>
          <w:bCs/>
          <w:szCs w:val="24"/>
        </w:rPr>
        <w:t>d</w:t>
      </w:r>
      <w:r w:rsidRPr="001F3C8E">
        <w:rPr>
          <w:b/>
          <w:bCs/>
          <w:szCs w:val="24"/>
        </w:rPr>
        <w:t xml:space="preserve"> its </w:t>
      </w:r>
      <w:r w:rsidR="009F5C08" w:rsidRPr="001F3C8E">
        <w:rPr>
          <w:b/>
          <w:bCs/>
          <w:szCs w:val="24"/>
        </w:rPr>
        <w:t>LSRP</w:t>
      </w:r>
      <w:r w:rsidRPr="001F3C8E">
        <w:rPr>
          <w:b/>
          <w:bCs/>
          <w:szCs w:val="24"/>
        </w:rPr>
        <w:t xml:space="preserve"> and remediation contractor</w:t>
      </w:r>
      <w:r w:rsidRPr="001F3C8E">
        <w:rPr>
          <w:szCs w:val="24"/>
        </w:rPr>
        <w:t xml:space="preserve"> in accordance with </w:t>
      </w:r>
      <w:r w:rsidRPr="001F3C8E">
        <w:rPr>
          <w:b/>
          <w:bCs/>
          <w:szCs w:val="24"/>
        </w:rPr>
        <w:t>2 CFR §§ 200.317–200.327</w:t>
      </w:r>
      <w:r w:rsidRPr="001F3C8E">
        <w:rPr>
          <w:szCs w:val="24"/>
        </w:rPr>
        <w:t xml:space="preserve"> and EPA procurement guidance</w:t>
      </w:r>
      <w:r w:rsidR="003167FE" w:rsidRPr="001F3C8E">
        <w:rPr>
          <w:szCs w:val="24"/>
        </w:rPr>
        <w:t xml:space="preserve">. </w:t>
      </w:r>
      <w:r w:rsidRPr="001F3C8E">
        <w:rPr>
          <w:szCs w:val="24"/>
        </w:rPr>
        <w:t xml:space="preserve">Following cleanup, EPA investment will position the </w:t>
      </w:r>
      <w:r w:rsidR="00502199" w:rsidRPr="001F3C8E">
        <w:rPr>
          <w:szCs w:val="24"/>
        </w:rPr>
        <w:t>t</w:t>
      </w:r>
      <w:r w:rsidRPr="001F3C8E">
        <w:rPr>
          <w:szCs w:val="24"/>
        </w:rPr>
        <w:t xml:space="preserve">ownship to pursue </w:t>
      </w:r>
      <w:r w:rsidRPr="001F3C8E">
        <w:rPr>
          <w:b/>
          <w:bCs/>
          <w:szCs w:val="24"/>
        </w:rPr>
        <w:t>reuse-oriented funding and partnerships</w:t>
      </w:r>
      <w:r w:rsidRPr="001F3C8E">
        <w:rPr>
          <w:szCs w:val="24"/>
        </w:rPr>
        <w:t xml:space="preserve">, including state open space, ecological restoration, and </w:t>
      </w:r>
      <w:r w:rsidR="00137D4D">
        <w:rPr>
          <w:szCs w:val="24"/>
        </w:rPr>
        <w:t xml:space="preserve">supplemental </w:t>
      </w:r>
      <w:r w:rsidRPr="001F3C8E">
        <w:rPr>
          <w:szCs w:val="24"/>
        </w:rPr>
        <w:t xml:space="preserve">energy programs. </w:t>
      </w:r>
    </w:p>
    <w:p w14:paraId="6AF94D32" w14:textId="6AF8178C" w:rsidR="009354B1" w:rsidRPr="001F3C8E" w:rsidRDefault="009354B1" w:rsidP="00F4056D">
      <w:pPr>
        <w:pStyle w:val="Heading2"/>
      </w:pPr>
      <w:r w:rsidRPr="001F3C8E">
        <w:t>Past Performance and Accomplishments</w:t>
      </w:r>
    </w:p>
    <w:p w14:paraId="61101EEE" w14:textId="5EE4C36B" w:rsidR="00953D0E" w:rsidRPr="001F3C8E" w:rsidRDefault="00A66BB4" w:rsidP="00B05C90">
      <w:pPr>
        <w:pStyle w:val="Heading3"/>
      </w:pPr>
      <w:r w:rsidRPr="001F3C8E">
        <w:t>4.</w:t>
      </w:r>
      <w:r w:rsidR="00161D88" w:rsidRPr="001F3C8E">
        <w:t>e</w:t>
      </w:r>
      <w:r w:rsidR="00953D0E" w:rsidRPr="001F3C8E">
        <w:t>. Has Not Received an EPA Brownfields Grant but has Received Other Federal or Non-Federal Assistance Agreements</w:t>
      </w:r>
    </w:p>
    <w:p w14:paraId="02252847" w14:textId="48A3AFE1" w:rsidR="00953D0E" w:rsidRPr="001F3C8E" w:rsidRDefault="00A66BB4" w:rsidP="00673CE6">
      <w:pPr>
        <w:pStyle w:val="Heading4"/>
        <w:rPr>
          <w:szCs w:val="24"/>
        </w:rPr>
      </w:pPr>
      <w:r w:rsidRPr="001F3C8E">
        <w:rPr>
          <w:szCs w:val="24"/>
        </w:rPr>
        <w:t>4.</w:t>
      </w:r>
      <w:r w:rsidR="00F139EE" w:rsidRPr="001F3C8E">
        <w:rPr>
          <w:szCs w:val="24"/>
        </w:rPr>
        <w:t>e</w:t>
      </w:r>
      <w:r w:rsidRPr="001F3C8E">
        <w:rPr>
          <w:szCs w:val="24"/>
        </w:rPr>
        <w:t>.</w:t>
      </w:r>
      <w:r w:rsidR="00953D0E" w:rsidRPr="001F3C8E">
        <w:rPr>
          <w:szCs w:val="24"/>
        </w:rPr>
        <w:t>(1) Purpose and Accomplishments</w:t>
      </w:r>
    </w:p>
    <w:p w14:paraId="28994113" w14:textId="7B4C7C3C" w:rsidR="000F0B2E" w:rsidRPr="001F3C8E" w:rsidRDefault="000F0B2E" w:rsidP="003E6944">
      <w:pPr>
        <w:pStyle w:val="Bullet1"/>
        <w:ind w:left="360"/>
        <w:rPr>
          <w:szCs w:val="24"/>
        </w:rPr>
      </w:pPr>
      <w:r w:rsidRPr="001F3C8E">
        <w:rPr>
          <w:b/>
          <w:bCs/>
          <w:szCs w:val="24"/>
        </w:rPr>
        <w:t>NJDEP/NJEDA HDSRF</w:t>
      </w:r>
      <w:r w:rsidR="001B138B" w:rsidRPr="001F3C8E">
        <w:rPr>
          <w:szCs w:val="24"/>
        </w:rPr>
        <w:t xml:space="preserve"> </w:t>
      </w:r>
      <w:r w:rsidR="001B138B" w:rsidRPr="001F3C8E">
        <w:rPr>
          <w:b/>
          <w:bCs/>
          <w:szCs w:val="24"/>
        </w:rPr>
        <w:t>Grant</w:t>
      </w:r>
      <w:r w:rsidRPr="001F3C8E">
        <w:rPr>
          <w:szCs w:val="24"/>
        </w:rPr>
        <w:t xml:space="preserve"> </w:t>
      </w:r>
      <w:r w:rsidR="00CB58E5">
        <w:rPr>
          <w:szCs w:val="24"/>
        </w:rPr>
        <w:t>–</w:t>
      </w:r>
      <w:r w:rsidRPr="001F3C8E">
        <w:rPr>
          <w:szCs w:val="24"/>
        </w:rPr>
        <w:t xml:space="preserve"> </w:t>
      </w:r>
      <w:r w:rsidR="00CB58E5" w:rsidRPr="00CB58E5">
        <w:rPr>
          <w:szCs w:val="24"/>
        </w:rPr>
        <w:t>P</w:t>
      </w:r>
      <w:r w:rsidR="00CB58E5">
        <w:rPr>
          <w:szCs w:val="24"/>
        </w:rPr>
        <w:t xml:space="preserve">reliminary Assessment </w:t>
      </w:r>
      <w:r w:rsidRPr="001F3C8E">
        <w:rPr>
          <w:szCs w:val="24"/>
        </w:rPr>
        <w:t xml:space="preserve">and </w:t>
      </w:r>
      <w:r w:rsidR="00CB58E5">
        <w:rPr>
          <w:szCs w:val="24"/>
        </w:rPr>
        <w:t>Site Investigations</w:t>
      </w:r>
      <w:r w:rsidRPr="001F3C8E">
        <w:rPr>
          <w:szCs w:val="24"/>
        </w:rPr>
        <w:t xml:space="preserve"> completed, confirming </w:t>
      </w:r>
      <w:r w:rsidR="001B138B" w:rsidRPr="001F3C8E">
        <w:rPr>
          <w:szCs w:val="24"/>
        </w:rPr>
        <w:t>Site contaminants</w:t>
      </w:r>
      <w:r w:rsidR="00D90CB3" w:rsidRPr="001F3C8E">
        <w:rPr>
          <w:szCs w:val="24"/>
        </w:rPr>
        <w:t xml:space="preserve"> </w:t>
      </w:r>
      <w:r w:rsidR="001B138B" w:rsidRPr="001F3C8E">
        <w:rPr>
          <w:szCs w:val="24"/>
        </w:rPr>
        <w:t>(metals,</w:t>
      </w:r>
      <w:r w:rsidRPr="001F3C8E">
        <w:rPr>
          <w:szCs w:val="24"/>
        </w:rPr>
        <w:t xml:space="preserve"> PCBs, PAHs, dioxins/furans). These investigations established the baseline for the current cleanup strategy and supported </w:t>
      </w:r>
      <w:r w:rsidR="00403B20" w:rsidRPr="001F3C8E">
        <w:rPr>
          <w:szCs w:val="24"/>
        </w:rPr>
        <w:t xml:space="preserve">Mullica’s </w:t>
      </w:r>
      <w:r w:rsidRPr="001F3C8E">
        <w:rPr>
          <w:szCs w:val="24"/>
        </w:rPr>
        <w:t>decision</w:t>
      </w:r>
      <w:r w:rsidRPr="001F3C8E">
        <w:rPr>
          <w:szCs w:val="24"/>
        </w:rPr>
        <w:noBreakHyphen/>
        <w:t>making under NJDEP oversight</w:t>
      </w:r>
      <w:r w:rsidR="005F76F7" w:rsidRPr="001F3C8E">
        <w:rPr>
          <w:szCs w:val="24"/>
        </w:rPr>
        <w:t>.</w:t>
      </w:r>
      <w:r w:rsidRPr="001F3C8E">
        <w:rPr>
          <w:szCs w:val="24"/>
        </w:rPr>
        <w:t xml:space="preserve"> </w:t>
      </w:r>
      <w:r w:rsidR="005F76F7" w:rsidRPr="001F3C8E">
        <w:rPr>
          <w:szCs w:val="24"/>
        </w:rPr>
        <w:t>The t</w:t>
      </w:r>
      <w:r w:rsidRPr="001F3C8E">
        <w:rPr>
          <w:szCs w:val="24"/>
        </w:rPr>
        <w:t xml:space="preserve">ownship is preparing an HDSRF Remedial Investigation request to </w:t>
      </w:r>
      <w:r w:rsidR="001B138B" w:rsidRPr="001F3C8E">
        <w:rPr>
          <w:szCs w:val="24"/>
        </w:rPr>
        <w:t xml:space="preserve">further characterize the Site, </w:t>
      </w:r>
      <w:r w:rsidRPr="001F3C8E">
        <w:rPr>
          <w:szCs w:val="24"/>
        </w:rPr>
        <w:t>delineate contamination</w:t>
      </w:r>
      <w:r w:rsidR="005F76F7" w:rsidRPr="001F3C8E">
        <w:rPr>
          <w:szCs w:val="24"/>
        </w:rPr>
        <w:t>,</w:t>
      </w:r>
      <w:r w:rsidRPr="001F3C8E">
        <w:rPr>
          <w:szCs w:val="24"/>
        </w:rPr>
        <w:t xml:space="preserve"> and evaluate receptor/ecological risks.) </w:t>
      </w:r>
    </w:p>
    <w:p w14:paraId="1A62354B" w14:textId="31489EC1" w:rsidR="000F0B2E" w:rsidRPr="001F3C8E" w:rsidRDefault="000F0B2E" w:rsidP="003E6944">
      <w:pPr>
        <w:pStyle w:val="Bullet1"/>
        <w:ind w:left="360"/>
        <w:rPr>
          <w:szCs w:val="24"/>
        </w:rPr>
      </w:pPr>
      <w:r w:rsidRPr="001F3C8E">
        <w:rPr>
          <w:b/>
          <w:bCs/>
          <w:szCs w:val="24"/>
        </w:rPr>
        <w:t>Atlantic County – CEHA Support (Past</w:t>
      </w:r>
      <w:r w:rsidRPr="001F3C8E">
        <w:rPr>
          <w:szCs w:val="24"/>
        </w:rPr>
        <w:t xml:space="preserve">) </w:t>
      </w:r>
      <w:r w:rsidR="005F76F7" w:rsidRPr="001F3C8E">
        <w:rPr>
          <w:szCs w:val="24"/>
        </w:rPr>
        <w:t>-</w:t>
      </w:r>
      <w:r w:rsidRPr="001F3C8E">
        <w:rPr>
          <w:szCs w:val="24"/>
        </w:rPr>
        <w:t xml:space="preserve"> Large</w:t>
      </w:r>
      <w:r w:rsidRPr="001F3C8E">
        <w:rPr>
          <w:szCs w:val="24"/>
        </w:rPr>
        <w:noBreakHyphen/>
        <w:t>scale tire removals (</w:t>
      </w:r>
      <w:r w:rsidR="005F76F7" w:rsidRPr="001F3C8E">
        <w:rPr>
          <w:szCs w:val="24"/>
        </w:rPr>
        <w:t xml:space="preserve">approx. </w:t>
      </w:r>
      <w:r w:rsidRPr="001F3C8E">
        <w:rPr>
          <w:szCs w:val="24"/>
        </w:rPr>
        <w:t xml:space="preserve">216,000 tires in 2006; </w:t>
      </w:r>
      <w:r w:rsidR="005F76F7" w:rsidRPr="001F3C8E">
        <w:rPr>
          <w:szCs w:val="24"/>
        </w:rPr>
        <w:t>approx.</w:t>
      </w:r>
      <w:r w:rsidRPr="001F3C8E">
        <w:rPr>
          <w:szCs w:val="24"/>
        </w:rPr>
        <w:t xml:space="preserve">20,000 tires in 2010) eliminated major fire hazards and visible blight, significantly improving </w:t>
      </w:r>
      <w:r w:rsidR="00806684" w:rsidRPr="001F3C8E">
        <w:rPr>
          <w:szCs w:val="24"/>
        </w:rPr>
        <w:t>Site</w:t>
      </w:r>
      <w:r w:rsidRPr="001F3C8E">
        <w:rPr>
          <w:szCs w:val="24"/>
        </w:rPr>
        <w:t xml:space="preserve"> safety pending full contamination management. </w:t>
      </w:r>
    </w:p>
    <w:p w14:paraId="64BC9342" w14:textId="49FF25E2" w:rsidR="00E92338" w:rsidRPr="001F3C8E" w:rsidRDefault="000F0B2E" w:rsidP="003E6944">
      <w:pPr>
        <w:pStyle w:val="Bullet1"/>
        <w:ind w:left="360"/>
        <w:rPr>
          <w:szCs w:val="24"/>
        </w:rPr>
      </w:pPr>
      <w:r w:rsidRPr="001F3C8E">
        <w:rPr>
          <w:b/>
          <w:bCs/>
          <w:szCs w:val="24"/>
        </w:rPr>
        <w:t>Outcomes:</w:t>
      </w:r>
      <w:r w:rsidRPr="001F3C8E">
        <w:rPr>
          <w:szCs w:val="24"/>
        </w:rPr>
        <w:t xml:space="preserve"> These activities demonstrate Mullica’s ability to plan, coordinate, and execute complex tasks under </w:t>
      </w:r>
      <w:r w:rsidR="00301C62" w:rsidRPr="001F3C8E">
        <w:rPr>
          <w:szCs w:val="24"/>
        </w:rPr>
        <w:t>s</w:t>
      </w:r>
      <w:r w:rsidRPr="001F3C8E">
        <w:rPr>
          <w:szCs w:val="24"/>
        </w:rPr>
        <w:t>tate oversight, to document outputs (tire removal records; investigation data; directives), and to progress toward protectiveness for human health and the environment</w:t>
      </w:r>
      <w:r w:rsidR="004245F6" w:rsidRPr="001F3C8E">
        <w:rPr>
          <w:szCs w:val="24"/>
        </w:rPr>
        <w:t xml:space="preserve">. </w:t>
      </w:r>
    </w:p>
    <w:p w14:paraId="23225B1C" w14:textId="5490675A" w:rsidR="00953D0E" w:rsidRPr="001F3C8E" w:rsidRDefault="00A66BB4" w:rsidP="00673CE6">
      <w:pPr>
        <w:pStyle w:val="Heading4"/>
        <w:rPr>
          <w:szCs w:val="24"/>
        </w:rPr>
      </w:pPr>
      <w:r w:rsidRPr="001F3C8E">
        <w:rPr>
          <w:szCs w:val="24"/>
        </w:rPr>
        <w:t>4.</w:t>
      </w:r>
      <w:r w:rsidR="00F139EE" w:rsidRPr="001F3C8E">
        <w:rPr>
          <w:szCs w:val="24"/>
        </w:rPr>
        <w:t>e</w:t>
      </w:r>
      <w:r w:rsidRPr="001F3C8E">
        <w:rPr>
          <w:szCs w:val="24"/>
        </w:rPr>
        <w:t>.</w:t>
      </w:r>
      <w:r w:rsidR="00953D0E" w:rsidRPr="001F3C8E">
        <w:rPr>
          <w:szCs w:val="24"/>
        </w:rPr>
        <w:t>(2) Compliance with Grant Requirements</w:t>
      </w:r>
    </w:p>
    <w:p w14:paraId="2F9B3A8A" w14:textId="2E5E8A58" w:rsidR="00E92338" w:rsidRPr="001F3C8E" w:rsidRDefault="00E92338" w:rsidP="003E6944">
      <w:pPr>
        <w:pStyle w:val="Bullet1ss"/>
        <w:ind w:left="360"/>
        <w:rPr>
          <w:szCs w:val="24"/>
        </w:rPr>
      </w:pPr>
      <w:r w:rsidRPr="001F3C8E">
        <w:rPr>
          <w:szCs w:val="24"/>
        </w:rPr>
        <w:t xml:space="preserve">Mullica has </w:t>
      </w:r>
      <w:r w:rsidRPr="001F3C8E">
        <w:rPr>
          <w:b/>
          <w:bCs/>
          <w:szCs w:val="24"/>
        </w:rPr>
        <w:t xml:space="preserve">complied with </w:t>
      </w:r>
      <w:r w:rsidR="00D43B52" w:rsidRPr="001F3C8E">
        <w:rPr>
          <w:b/>
          <w:bCs/>
          <w:szCs w:val="24"/>
        </w:rPr>
        <w:t>s</w:t>
      </w:r>
      <w:r w:rsidRPr="001F3C8E">
        <w:rPr>
          <w:b/>
          <w:bCs/>
          <w:szCs w:val="24"/>
        </w:rPr>
        <w:t>tate assistance requirements</w:t>
      </w:r>
      <w:r w:rsidRPr="001F3C8E">
        <w:rPr>
          <w:szCs w:val="24"/>
        </w:rPr>
        <w:t xml:space="preserve"> for HDSRF and CEHA funding, including procurement, documentation, and reporting. For the NJDEP Conditional Approval, </w:t>
      </w:r>
      <w:r w:rsidR="00D43B52" w:rsidRPr="001F3C8E">
        <w:rPr>
          <w:szCs w:val="24"/>
        </w:rPr>
        <w:t>Mullica</w:t>
      </w:r>
      <w:r w:rsidRPr="001F3C8E">
        <w:rPr>
          <w:szCs w:val="24"/>
        </w:rPr>
        <w:t xml:space="preserve"> will complete </w:t>
      </w:r>
      <w:r w:rsidR="00D43B52" w:rsidRPr="001F3C8E">
        <w:rPr>
          <w:szCs w:val="24"/>
        </w:rPr>
        <w:t xml:space="preserve">the </w:t>
      </w:r>
      <w:r w:rsidRPr="001F3C8E">
        <w:rPr>
          <w:szCs w:val="24"/>
        </w:rPr>
        <w:t>required notice, GPS documentation, and waste</w:t>
      </w:r>
      <w:r w:rsidRPr="001F3C8E">
        <w:rPr>
          <w:szCs w:val="24"/>
        </w:rPr>
        <w:noBreakHyphen/>
        <w:t xml:space="preserve">flow controls, and then transition to </w:t>
      </w:r>
      <w:r w:rsidR="001B138B" w:rsidRPr="001F3C8E">
        <w:rPr>
          <w:b/>
          <w:bCs/>
          <w:szCs w:val="24"/>
        </w:rPr>
        <w:t>NJDEP</w:t>
      </w:r>
      <w:r w:rsidR="001B138B" w:rsidRPr="001F3C8E">
        <w:rPr>
          <w:b/>
          <w:szCs w:val="24"/>
        </w:rPr>
        <w:t xml:space="preserve"> </w:t>
      </w:r>
      <w:r w:rsidR="001B138B" w:rsidRPr="001F3C8E">
        <w:rPr>
          <w:b/>
          <w:bCs/>
          <w:szCs w:val="24"/>
        </w:rPr>
        <w:t>CSRRP oversight</w:t>
      </w:r>
      <w:r w:rsidRPr="001F3C8E">
        <w:rPr>
          <w:szCs w:val="24"/>
        </w:rPr>
        <w:t xml:space="preserve"> for residual contamination cleanup. </w:t>
      </w:r>
      <w:r w:rsidR="00D43B52" w:rsidRPr="001F3C8E">
        <w:rPr>
          <w:szCs w:val="24"/>
        </w:rPr>
        <w:t>Mullica</w:t>
      </w:r>
      <w:r w:rsidRPr="001F3C8E">
        <w:rPr>
          <w:szCs w:val="24"/>
        </w:rPr>
        <w:t xml:space="preserve"> will use the same internal controls to meet EPA’s FY26 grant terms (e.g., ACRES, quarterly performance reports, </w:t>
      </w:r>
      <w:proofErr w:type="gramStart"/>
      <w:r w:rsidRPr="001F3C8E">
        <w:rPr>
          <w:szCs w:val="24"/>
        </w:rPr>
        <w:t>close</w:t>
      </w:r>
      <w:r w:rsidRPr="001F3C8E">
        <w:rPr>
          <w:szCs w:val="24"/>
        </w:rPr>
        <w:noBreakHyphen/>
        <w:t>out</w:t>
      </w:r>
      <w:proofErr w:type="gramEnd"/>
      <w:r w:rsidRPr="001F3C8E">
        <w:rPr>
          <w:szCs w:val="24"/>
        </w:rPr>
        <w:t xml:space="preserve">). </w:t>
      </w:r>
    </w:p>
    <w:p w14:paraId="324473FD" w14:textId="6A6A3A2E" w:rsidR="000A76E6" w:rsidRPr="001F3C8E" w:rsidRDefault="000A76E6" w:rsidP="001F3C8E"/>
    <w:sectPr w:rsidR="000A76E6" w:rsidRPr="001F3C8E" w:rsidSect="001F3C8E">
      <w:footerReference w:type="default" r:id="rId20"/>
      <w:pgSz w:w="12240" w:h="15840" w:code="1"/>
      <w:pgMar w:top="360" w:right="360" w:bottom="360" w:left="360" w:header="360" w:footer="36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CB39" w14:textId="77777777" w:rsidR="008707A5" w:rsidRDefault="008707A5" w:rsidP="005062D7">
      <w:r>
        <w:separator/>
      </w:r>
    </w:p>
  </w:endnote>
  <w:endnote w:type="continuationSeparator" w:id="0">
    <w:p w14:paraId="4FD20E73" w14:textId="77777777" w:rsidR="008707A5" w:rsidRDefault="008707A5" w:rsidP="0050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eiryo">
    <w:altName w:val="メイリオ"/>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BFA1" w14:textId="77777777" w:rsidR="001E0A80" w:rsidRDefault="001E0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24A2" w14:textId="26C349C9" w:rsidR="0062131F" w:rsidRPr="00965814" w:rsidRDefault="007940EF">
    <w:pPr>
      <w:pStyle w:val="Footer"/>
      <w:rPr>
        <w:color w:val="808080" w:themeColor="background1" w:themeShade="80"/>
      </w:rPr>
    </w:pPr>
    <w:r>
      <w:rPr>
        <w:color w:val="808080" w:themeColor="background1" w:themeShade="80"/>
      </w:rPr>
      <w:t>Township of Mullica</w:t>
    </w:r>
    <w:r w:rsidR="00951EA2" w:rsidRPr="00965814">
      <w:rPr>
        <w:color w:val="808080" w:themeColor="background1" w:themeShade="80"/>
      </w:rPr>
      <w:t xml:space="preserve"> – </w:t>
    </w:r>
    <w:r w:rsidR="00EC0E28" w:rsidRPr="00965814">
      <w:rPr>
        <w:color w:val="808080" w:themeColor="background1" w:themeShade="80"/>
      </w:rPr>
      <w:t xml:space="preserve">Submission for </w:t>
    </w:r>
    <w:r w:rsidR="0085293C" w:rsidRPr="0085293C">
      <w:rPr>
        <w:color w:val="808080" w:themeColor="background1" w:themeShade="80"/>
      </w:rPr>
      <w:t>EPA-I-OLEM-OBLR-25-07</w:t>
    </w:r>
    <w:r w:rsidR="00773625" w:rsidRPr="00965814">
      <w:rPr>
        <w:color w:val="808080" w:themeColor="background1" w:themeShade="80"/>
      </w:rPr>
      <w:t xml:space="preserve"> – Brownfield Cleanup Grant</w:t>
    </w:r>
    <w:r w:rsidR="00965814" w:rsidRPr="00965814">
      <w:rPr>
        <w:color w:val="808080" w:themeColor="background1" w:themeShade="80"/>
      </w:rPr>
      <w:tab/>
      <w:t xml:space="preserve">Page </w:t>
    </w:r>
    <w:r w:rsidR="001B26DD">
      <w:rPr>
        <w:color w:val="808080" w:themeColor="background1" w:themeShade="80"/>
      </w:rPr>
      <w:t>A</w:t>
    </w:r>
    <w:r w:rsidR="00965814" w:rsidRPr="00965814">
      <w:rPr>
        <w:color w:val="808080" w:themeColor="background1" w:themeShade="80"/>
      </w:rPr>
      <w:t>-</w:t>
    </w:r>
    <w:r w:rsidR="00965814" w:rsidRPr="00965814">
      <w:rPr>
        <w:color w:val="808080" w:themeColor="background1" w:themeShade="80"/>
      </w:rPr>
      <w:fldChar w:fldCharType="begin"/>
    </w:r>
    <w:r w:rsidR="00965814" w:rsidRPr="00965814">
      <w:rPr>
        <w:color w:val="808080" w:themeColor="background1" w:themeShade="80"/>
      </w:rPr>
      <w:instrText xml:space="preserve"> PAGE   \* MERGEFORMAT </w:instrText>
    </w:r>
    <w:r w:rsidR="00965814" w:rsidRPr="00965814">
      <w:rPr>
        <w:color w:val="808080" w:themeColor="background1" w:themeShade="80"/>
      </w:rPr>
      <w:fldChar w:fldCharType="separate"/>
    </w:r>
    <w:r w:rsidR="00965814" w:rsidRPr="00965814">
      <w:rPr>
        <w:noProof/>
        <w:color w:val="808080" w:themeColor="background1" w:themeShade="80"/>
      </w:rPr>
      <w:t>1</w:t>
    </w:r>
    <w:r w:rsidR="00965814" w:rsidRPr="00965814">
      <w:rPr>
        <w:noProof/>
        <w:color w:val="808080" w:themeColor="background1"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B4BB" w14:textId="77777777" w:rsidR="001E0A80" w:rsidRDefault="001E0A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1C21" w14:textId="6BD22999" w:rsidR="00A17346" w:rsidRPr="00965814" w:rsidRDefault="00F97C62" w:rsidP="001F3C8E">
    <w:pPr>
      <w:pStyle w:val="Footer"/>
      <w:tabs>
        <w:tab w:val="clear" w:pos="9360"/>
        <w:tab w:val="right" w:pos="11520"/>
      </w:tabs>
      <w:rPr>
        <w:color w:val="808080" w:themeColor="background1" w:themeShade="80"/>
      </w:rPr>
    </w:pPr>
    <w:r>
      <w:rPr>
        <w:color w:val="808080" w:themeColor="background1" w:themeShade="80"/>
      </w:rPr>
      <w:t>Mullica Township</w:t>
    </w:r>
    <w:r w:rsidR="00A17346" w:rsidRPr="00965814">
      <w:rPr>
        <w:color w:val="808080" w:themeColor="background1" w:themeShade="80"/>
      </w:rPr>
      <w:t xml:space="preserve"> – Submission for EPA RFA EPA-I-OLEM-OBLR-24-11 – Brownfield Cleanup Grant</w:t>
    </w:r>
    <w:r w:rsidR="00A17346" w:rsidRPr="00965814">
      <w:rPr>
        <w:color w:val="808080" w:themeColor="background1" w:themeShade="80"/>
      </w:rPr>
      <w:tab/>
      <w:t>Page N-</w:t>
    </w:r>
    <w:r w:rsidR="00A17346" w:rsidRPr="00965814">
      <w:rPr>
        <w:color w:val="808080" w:themeColor="background1" w:themeShade="80"/>
      </w:rPr>
      <w:fldChar w:fldCharType="begin"/>
    </w:r>
    <w:r w:rsidR="00A17346" w:rsidRPr="00965814">
      <w:rPr>
        <w:color w:val="808080" w:themeColor="background1" w:themeShade="80"/>
      </w:rPr>
      <w:instrText xml:space="preserve"> PAGE   \* MERGEFORMAT </w:instrText>
    </w:r>
    <w:r w:rsidR="00A17346" w:rsidRPr="00965814">
      <w:rPr>
        <w:color w:val="808080" w:themeColor="background1" w:themeShade="80"/>
      </w:rPr>
      <w:fldChar w:fldCharType="separate"/>
    </w:r>
    <w:r w:rsidR="00A17346" w:rsidRPr="00965814">
      <w:rPr>
        <w:noProof/>
        <w:color w:val="808080" w:themeColor="background1" w:themeShade="80"/>
      </w:rPr>
      <w:t>1</w:t>
    </w:r>
    <w:r w:rsidR="00A17346" w:rsidRPr="00965814">
      <w:rPr>
        <w:noProof/>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8BE5" w14:textId="77777777" w:rsidR="008707A5" w:rsidRDefault="008707A5" w:rsidP="005062D7">
      <w:r>
        <w:separator/>
      </w:r>
    </w:p>
  </w:footnote>
  <w:footnote w:type="continuationSeparator" w:id="0">
    <w:p w14:paraId="1FD73CF1" w14:textId="77777777" w:rsidR="008707A5" w:rsidRDefault="008707A5" w:rsidP="005062D7">
      <w:r>
        <w:continuationSeparator/>
      </w:r>
    </w:p>
  </w:footnote>
  <w:footnote w:id="1">
    <w:p w14:paraId="0AD74979" w14:textId="44114264" w:rsidR="00E43BEC" w:rsidRPr="001F3C8E" w:rsidRDefault="00E43BEC">
      <w:pPr>
        <w:pStyle w:val="FootnoteText"/>
        <w:rPr>
          <w:i w:val="0"/>
          <w:iCs/>
          <w:color w:val="auto"/>
        </w:rPr>
      </w:pPr>
      <w:r w:rsidRPr="001F3C8E">
        <w:rPr>
          <w:rStyle w:val="FootnoteReference"/>
          <w:color w:val="auto"/>
        </w:rPr>
        <w:footnoteRef/>
      </w:r>
      <w:r w:rsidRPr="001F3C8E">
        <w:rPr>
          <w:color w:val="auto"/>
        </w:rPr>
        <w:t xml:space="preserve"> </w:t>
      </w:r>
      <w:hyperlink r:id="rId1" w:history="1">
        <w:r w:rsidR="00D52368" w:rsidRPr="001F3C8E">
          <w:rPr>
            <w:rStyle w:val="Hyperlink"/>
            <w:color w:val="auto"/>
            <w:u w:val="none"/>
          </w:rPr>
          <w:t xml:space="preserve">USDA. (2022). </w:t>
        </w:r>
        <w:r w:rsidR="00187564" w:rsidRPr="001F3C8E">
          <w:rPr>
            <w:rStyle w:val="Hyperlink"/>
            <w:color w:val="auto"/>
            <w:u w:val="none"/>
          </w:rPr>
          <w:t>County Profile Atlantic County New Jersey. Census of Agriculture</w:t>
        </w:r>
      </w:hyperlink>
    </w:p>
  </w:footnote>
  <w:footnote w:id="2">
    <w:p w14:paraId="44B88662" w14:textId="78322A68" w:rsidR="0091529E" w:rsidRPr="001F3C8E" w:rsidRDefault="0091529E">
      <w:pPr>
        <w:pStyle w:val="FootnoteText"/>
        <w:rPr>
          <w:color w:val="auto"/>
        </w:rPr>
      </w:pPr>
      <w:r w:rsidRPr="001F3C8E">
        <w:rPr>
          <w:rStyle w:val="FootnoteReference"/>
          <w:color w:val="auto"/>
        </w:rPr>
        <w:footnoteRef/>
      </w:r>
      <w:r w:rsidRPr="001F3C8E">
        <w:rPr>
          <w:color w:val="auto"/>
        </w:rPr>
        <w:t xml:space="preserve"> </w:t>
      </w:r>
      <w:r w:rsidR="00762492">
        <w:rPr>
          <w:color w:val="auto"/>
        </w:rPr>
        <w:t xml:space="preserve">C. Brining. </w:t>
      </w:r>
      <w:r w:rsidR="00C13E3C">
        <w:rPr>
          <w:color w:val="auto"/>
        </w:rPr>
        <w:t xml:space="preserve">(2009). </w:t>
      </w:r>
      <w:hyperlink r:id="rId2" w:anchor=":~:text=For%20anyone%20familiar%20with%20the,on%20the%20White%20Horse%20Pike." w:history="1">
        <w:r w:rsidR="0084668B" w:rsidRPr="001F3C8E">
          <w:rPr>
            <w:rStyle w:val="Hyperlink"/>
            <w:color w:val="auto"/>
            <w:u w:val="none"/>
          </w:rPr>
          <w:t>Local News - The Lost Town of Amatol in Elwood</w:t>
        </w:r>
      </w:hyperlink>
      <w:r w:rsidR="0084668B" w:rsidRPr="001F3C8E">
        <w:rPr>
          <w:color w:val="auto"/>
        </w:rPr>
        <w:t xml:space="preserve"> - Elwood Fire Rescue</w:t>
      </w:r>
      <w:r w:rsidR="00C13E3C" w:rsidRPr="000763D2">
        <w:rPr>
          <w:color w:val="auto"/>
        </w:rPr>
        <w:t>. Elwood Fire Re</w:t>
      </w:r>
      <w:r w:rsidR="008C693A" w:rsidRPr="000763D2">
        <w:rPr>
          <w:color w:val="auto"/>
        </w:rPr>
        <w:t>scue</w:t>
      </w:r>
    </w:p>
  </w:footnote>
  <w:footnote w:id="3">
    <w:p w14:paraId="3B6C6998" w14:textId="22A29B7E" w:rsidR="00061D91" w:rsidRPr="00500E95" w:rsidRDefault="00061D91">
      <w:pPr>
        <w:pStyle w:val="FootnoteText"/>
      </w:pPr>
      <w:r w:rsidRPr="001F3C8E">
        <w:rPr>
          <w:rStyle w:val="FootnoteReference"/>
          <w:color w:val="auto"/>
        </w:rPr>
        <w:footnoteRef/>
      </w:r>
      <w:r w:rsidRPr="001F3C8E">
        <w:rPr>
          <w:color w:val="auto"/>
        </w:rPr>
        <w:t xml:space="preserve"> </w:t>
      </w:r>
      <w:hyperlink r:id="rId3" w:history="1">
        <w:r w:rsidR="00500E95" w:rsidRPr="001F3C8E">
          <w:rPr>
            <w:rStyle w:val="Hyperlink"/>
            <w:color w:val="auto"/>
            <w:u w:val="none"/>
          </w:rPr>
          <w:t>SouthJersey</w:t>
        </w:r>
        <w:r w:rsidR="00500E95" w:rsidRPr="00F838E2">
          <w:rPr>
            <w:rStyle w:val="Hyperlink"/>
            <w:color w:val="auto"/>
            <w:u w:val="none"/>
          </w:rPr>
          <w:t>.</w:t>
        </w:r>
        <w:r w:rsidR="00500E95" w:rsidRPr="001F3C8E">
          <w:rPr>
            <w:rStyle w:val="Hyperlink"/>
            <w:color w:val="auto"/>
            <w:u w:val="none"/>
          </w:rPr>
          <w:t>com. (2014). Amatol—The Town</w:t>
        </w:r>
      </w:hyperlink>
    </w:p>
  </w:footnote>
  <w:footnote w:id="4">
    <w:p w14:paraId="5C9146EA" w14:textId="1EA9A5DD" w:rsidR="006D71C6" w:rsidRPr="001F3C8E" w:rsidRDefault="006D71C6">
      <w:pPr>
        <w:pStyle w:val="FootnoteText"/>
        <w:rPr>
          <w:i w:val="0"/>
          <w:iCs/>
        </w:rPr>
      </w:pPr>
      <w:r>
        <w:rPr>
          <w:rStyle w:val="FootnoteReference"/>
        </w:rPr>
        <w:footnoteRef/>
      </w:r>
      <w:r>
        <w:t xml:space="preserve"> </w:t>
      </w:r>
      <w:r w:rsidRPr="00F838E2">
        <w:t xml:space="preserve">United States Census Bureau. (2025). </w:t>
      </w:r>
      <w:proofErr w:type="spellStart"/>
      <w:r w:rsidRPr="00F838E2">
        <w:t>On</w:t>
      </w:r>
      <w:r w:rsidR="0021584C" w:rsidRPr="00F838E2">
        <w:t>TheMap</w:t>
      </w:r>
      <w:proofErr w:type="spellEnd"/>
      <w:r w:rsidR="0021584C" w:rsidRPr="00F838E2">
        <w:t xml:space="preserve"> Online data/mapping application.</w:t>
      </w:r>
      <w:r w:rsidR="0021584C">
        <w:rPr>
          <w:i w:val="0"/>
          <w:iCs/>
        </w:rPr>
        <w:t xml:space="preserve"> </w:t>
      </w:r>
    </w:p>
  </w:footnote>
  <w:footnote w:id="5">
    <w:p w14:paraId="0F6DF0DE" w14:textId="3F9315CF" w:rsidR="00D93DE6" w:rsidRPr="00F838E2" w:rsidRDefault="00D93DE6">
      <w:pPr>
        <w:pStyle w:val="FootnoteText"/>
      </w:pPr>
      <w:r>
        <w:rPr>
          <w:rStyle w:val="FootnoteReference"/>
        </w:rPr>
        <w:footnoteRef/>
      </w:r>
      <w:r>
        <w:t xml:space="preserve"> </w:t>
      </w:r>
      <w:r w:rsidR="00686F05" w:rsidRPr="00F838E2">
        <w:t xml:space="preserve">Breitmeyer, S.E. (2022). </w:t>
      </w:r>
      <w:r w:rsidRPr="00F838E2">
        <w:t>Potential health effects of contaminant mixtures from point and nonpoint sources on fish and frogs in the New Jersey Pinelands</w:t>
      </w:r>
      <w:r w:rsidR="00932A8B" w:rsidRPr="00F838E2">
        <w:t>. Science of the Total Environment. Volume 851, Part 1</w:t>
      </w:r>
    </w:p>
  </w:footnote>
  <w:footnote w:id="6">
    <w:p w14:paraId="52E4EB03" w14:textId="1BE2C520" w:rsidR="004738E9" w:rsidRDefault="004738E9">
      <w:pPr>
        <w:pStyle w:val="FootnoteText"/>
      </w:pPr>
      <w:r>
        <w:rPr>
          <w:rStyle w:val="FootnoteReference"/>
        </w:rPr>
        <w:footnoteRef/>
      </w:r>
      <w:r>
        <w:t xml:space="preserve"> </w:t>
      </w:r>
      <w:r w:rsidR="009C647E">
        <w:t>Schoor DePalma</w:t>
      </w:r>
      <w:r w:rsidR="00977F2E">
        <w:t xml:space="preserve">. (2003). </w:t>
      </w:r>
      <w:r w:rsidRPr="00B05C90">
        <w:rPr>
          <w:iCs/>
        </w:rPr>
        <w:t>Site Investigation Report</w:t>
      </w:r>
    </w:p>
  </w:footnote>
  <w:footnote w:id="7">
    <w:p w14:paraId="374D3994" w14:textId="305ABBCB" w:rsidR="00686F05" w:rsidRDefault="00686F05">
      <w:pPr>
        <w:pStyle w:val="FootnoteText"/>
      </w:pPr>
      <w:r>
        <w:rPr>
          <w:rStyle w:val="FootnoteReference"/>
        </w:rPr>
        <w:footnoteRef/>
      </w:r>
      <w:r>
        <w:t xml:space="preserve"> </w:t>
      </w:r>
      <w:r w:rsidR="00594F47">
        <w:t xml:space="preserve">NJDEP. (2014). </w:t>
      </w:r>
      <w:r w:rsidRPr="00B05C90">
        <w:rPr>
          <w:iCs/>
        </w:rPr>
        <w:t>Responsible Party Investigations Unit Summary Memo</w:t>
      </w:r>
    </w:p>
  </w:footnote>
  <w:footnote w:id="8">
    <w:p w14:paraId="105F7924" w14:textId="013D170E" w:rsidR="00EA2451" w:rsidRDefault="00EA2451">
      <w:pPr>
        <w:pStyle w:val="FootnoteText"/>
      </w:pPr>
      <w:r>
        <w:rPr>
          <w:rStyle w:val="FootnoteReference"/>
        </w:rPr>
        <w:footnoteRef/>
      </w:r>
      <w:r>
        <w:t xml:space="preserve"> Remi Economic Models, Inc. </w:t>
      </w:r>
      <w:r w:rsidR="000763D2">
        <w:t>(</w:t>
      </w:r>
      <w:r>
        <w:t>2024</w:t>
      </w:r>
      <w:r w:rsidR="000763D2">
        <w:t>)</w:t>
      </w:r>
      <w:r>
        <w:t xml:space="preserve">. </w:t>
      </w:r>
      <w:r w:rsidRPr="00EA2451">
        <w:t>https://www.remi.com/wp-content/uploads/2024/10</w:t>
      </w:r>
    </w:p>
  </w:footnote>
  <w:footnote w:id="9">
    <w:p w14:paraId="19A4640A" w14:textId="650DCE9E" w:rsidR="0062474E" w:rsidRDefault="0062474E">
      <w:pPr>
        <w:pStyle w:val="FootnoteText"/>
      </w:pPr>
      <w:r>
        <w:rPr>
          <w:rStyle w:val="FootnoteReference"/>
        </w:rPr>
        <w:footnoteRef/>
      </w:r>
      <w:r>
        <w:t xml:space="preserve"> </w:t>
      </w:r>
      <w:r w:rsidR="00880589">
        <w:t xml:space="preserve">Solar Powered World Online. </w:t>
      </w:r>
      <w:r w:rsidR="00F838E2">
        <w:t>(</w:t>
      </w:r>
      <w:r w:rsidR="00880589">
        <w:t>2026</w:t>
      </w:r>
      <w:r w:rsidR="00F838E2">
        <w:t>)</w:t>
      </w:r>
      <w:r w:rsidR="00880589">
        <w:t xml:space="preserve">. </w:t>
      </w:r>
      <w:r w:rsidR="00880589" w:rsidRPr="00880589">
        <w:t>https://www.solarpowerworldonline.com/2026/01/nj-governor-signs-bill-to-speed-up-residential-solar-permitting/</w:t>
      </w:r>
    </w:p>
  </w:footnote>
  <w:footnote w:id="10">
    <w:p w14:paraId="57F0603D" w14:textId="345EC2B8" w:rsidR="000C65C7" w:rsidRDefault="000C65C7">
      <w:pPr>
        <w:pStyle w:val="FootnoteText"/>
      </w:pPr>
      <w:r>
        <w:rPr>
          <w:rStyle w:val="FootnoteReference"/>
        </w:rPr>
        <w:footnoteRef/>
      </w:r>
      <w:r>
        <w:t xml:space="preserve"> </w:t>
      </w:r>
      <w:r w:rsidR="00107DB0">
        <w:t>NJDEP</w:t>
      </w:r>
      <w:r w:rsidR="00F838E2">
        <w:t>. (2026).</w:t>
      </w:r>
      <w:r w:rsidR="00107DB0">
        <w:t xml:space="preserve"> </w:t>
      </w:r>
      <w:proofErr w:type="spellStart"/>
      <w:r w:rsidR="00107DB0">
        <w:t>NJGeoWeb</w:t>
      </w:r>
      <w:proofErr w:type="spellEnd"/>
      <w:r w:rsidR="00107DB0">
        <w:t xml:space="preserve"> Online Mapping Application.</w:t>
      </w:r>
    </w:p>
  </w:footnote>
  <w:footnote w:id="11">
    <w:p w14:paraId="1B360559" w14:textId="3834882D" w:rsidR="007748BB" w:rsidRPr="009B6099" w:rsidRDefault="007748BB">
      <w:pPr>
        <w:pStyle w:val="FootnoteText"/>
      </w:pPr>
      <w:r>
        <w:rPr>
          <w:rStyle w:val="FootnoteReference"/>
        </w:rPr>
        <w:footnoteRef/>
      </w:r>
      <w:r>
        <w:t xml:space="preserve"> </w:t>
      </w:r>
      <w:hyperlink r:id="rId4" w:history="1">
        <w:r w:rsidR="009B6099" w:rsidRPr="001F3C8E">
          <w:rPr>
            <w:rStyle w:val="Hyperlink"/>
            <w:color w:val="auto"/>
            <w:u w:val="none"/>
          </w:rPr>
          <w:t>NJDEP. (2025). New Jersey Landscape Project. Office of Fish &amp; Wildlife Information Systems Mapping Service</w:t>
        </w:r>
      </w:hyperlink>
    </w:p>
  </w:footnote>
  <w:footnote w:id="12">
    <w:p w14:paraId="24F13132" w14:textId="0B6AD0B2" w:rsidR="00B33863" w:rsidRPr="00B05C90" w:rsidRDefault="00B33863">
      <w:pPr>
        <w:pStyle w:val="FootnoteText"/>
        <w:rPr>
          <w:szCs w:val="16"/>
        </w:rPr>
      </w:pPr>
      <w:r>
        <w:rPr>
          <w:rStyle w:val="FootnoteReference"/>
        </w:rPr>
        <w:footnoteRef/>
      </w:r>
      <w:r>
        <w:t xml:space="preserve"> </w:t>
      </w:r>
      <w:r w:rsidRPr="00B05C90">
        <w:rPr>
          <w:szCs w:val="16"/>
        </w:rPr>
        <w:t>U.S. Census</w:t>
      </w:r>
      <w:r w:rsidR="003A4ECF">
        <w:rPr>
          <w:szCs w:val="16"/>
        </w:rPr>
        <w:t>. (</w:t>
      </w:r>
      <w:r w:rsidRPr="00B05C90">
        <w:rPr>
          <w:szCs w:val="16"/>
        </w:rPr>
        <w:t>2023</w:t>
      </w:r>
      <w:r w:rsidR="003A4ECF">
        <w:rPr>
          <w:szCs w:val="16"/>
        </w:rPr>
        <w:t xml:space="preserve">). </w:t>
      </w:r>
      <w:r w:rsidRPr="00B05C90">
        <w:rPr>
          <w:iCs/>
          <w:szCs w:val="16"/>
        </w:rPr>
        <w:t>American Community survey 5-year estimates</w:t>
      </w:r>
      <w:r w:rsidRPr="00B05C90">
        <w:rPr>
          <w:szCs w:val="16"/>
        </w:rPr>
        <w:t xml:space="preserve"> (2019-2023)</w:t>
      </w:r>
    </w:p>
  </w:footnote>
  <w:footnote w:id="13">
    <w:p w14:paraId="4EE2D4E5" w14:textId="25C226A9" w:rsidR="00A003B0" w:rsidRPr="00B05C90" w:rsidRDefault="00A003B0">
      <w:pPr>
        <w:pStyle w:val="FootnoteText"/>
        <w:rPr>
          <w:szCs w:val="16"/>
        </w:rPr>
      </w:pPr>
      <w:r w:rsidRPr="00B05C90">
        <w:rPr>
          <w:rStyle w:val="FootnoteReference"/>
          <w:szCs w:val="16"/>
        </w:rPr>
        <w:footnoteRef/>
      </w:r>
      <w:r w:rsidRPr="00B05C90">
        <w:rPr>
          <w:szCs w:val="16"/>
        </w:rPr>
        <w:t xml:space="preserve"> Mullica Township</w:t>
      </w:r>
      <w:r w:rsidRPr="00702E00">
        <w:rPr>
          <w:szCs w:val="16"/>
        </w:rPr>
        <w:t xml:space="preserve">. </w:t>
      </w:r>
      <w:r w:rsidR="005215F0">
        <w:rPr>
          <w:szCs w:val="16"/>
        </w:rPr>
        <w:t>(</w:t>
      </w:r>
      <w:r w:rsidRPr="00702E00">
        <w:rPr>
          <w:szCs w:val="16"/>
        </w:rPr>
        <w:t>FY 2025</w:t>
      </w:r>
      <w:r w:rsidR="005215F0">
        <w:rPr>
          <w:szCs w:val="16"/>
        </w:rPr>
        <w:t>)</w:t>
      </w:r>
      <w:r w:rsidRPr="00702E00">
        <w:rPr>
          <w:szCs w:val="16"/>
        </w:rPr>
        <w:t xml:space="preserve">. Municipal Budget. </w:t>
      </w:r>
      <w:hyperlink r:id="rId5" w:history="1">
        <w:r w:rsidRPr="001F3C8E">
          <w:rPr>
            <w:rStyle w:val="Hyperlink"/>
            <w:color w:val="auto"/>
            <w:szCs w:val="16"/>
            <w:u w:val="none"/>
          </w:rPr>
          <w:t>CY-2025-User-Friendly-Budget.pdf</w:t>
        </w:r>
      </w:hyperlink>
    </w:p>
  </w:footnote>
  <w:footnote w:id="14">
    <w:p w14:paraId="06757B36" w14:textId="7FEAEEFA" w:rsidR="00B14AF6" w:rsidRDefault="00B14AF6">
      <w:pPr>
        <w:pStyle w:val="FootnoteText"/>
      </w:pPr>
      <w:r w:rsidRPr="00B05C90">
        <w:rPr>
          <w:rStyle w:val="FootnoteReference"/>
          <w:szCs w:val="16"/>
        </w:rPr>
        <w:footnoteRef/>
      </w:r>
      <w:r w:rsidRPr="00B05C90">
        <w:rPr>
          <w:szCs w:val="16"/>
        </w:rPr>
        <w:t xml:space="preserve"> </w:t>
      </w:r>
      <w:r w:rsidR="00474F6B" w:rsidRPr="00B05C90">
        <w:rPr>
          <w:szCs w:val="16"/>
        </w:rPr>
        <w:t xml:space="preserve">State of New Jersey Department of </w:t>
      </w:r>
      <w:r w:rsidR="00702E00" w:rsidRPr="00702E00">
        <w:rPr>
          <w:szCs w:val="16"/>
        </w:rPr>
        <w:t>Treasury</w:t>
      </w:r>
      <w:r w:rsidR="00474F6B" w:rsidRPr="00B05C90">
        <w:rPr>
          <w:szCs w:val="16"/>
        </w:rPr>
        <w:t>. (</w:t>
      </w:r>
      <w:r w:rsidR="00AF3AAD" w:rsidRPr="00B05C90">
        <w:rPr>
          <w:szCs w:val="16"/>
        </w:rPr>
        <w:t xml:space="preserve">2025). </w:t>
      </w:r>
      <w:r w:rsidR="00973EF8" w:rsidRPr="00B05C90">
        <w:rPr>
          <w:iCs/>
          <w:szCs w:val="16"/>
        </w:rPr>
        <w:t>Order to Implement A Municipal-Wide Revaluation</w:t>
      </w:r>
      <w:r w:rsidR="008702A8">
        <w:rPr>
          <w:szCs w:val="16"/>
        </w:rPr>
        <w:t xml:space="preserve"> </w:t>
      </w:r>
    </w:p>
  </w:footnote>
  <w:footnote w:id="15">
    <w:p w14:paraId="04585F5A" w14:textId="77777777" w:rsidR="005B3FE8" w:rsidRPr="00DB7FAD" w:rsidRDefault="005B3FE8" w:rsidP="005B3FE8">
      <w:pPr>
        <w:pStyle w:val="FootnoteText"/>
      </w:pPr>
      <w:r w:rsidRPr="00DB7FAD">
        <w:rPr>
          <w:rStyle w:val="FootnoteReference"/>
        </w:rPr>
        <w:footnoteRef/>
      </w:r>
      <w:r w:rsidRPr="00DB7FAD">
        <w:t xml:space="preserve"> </w:t>
      </w:r>
      <w:r w:rsidRPr="00DB7FAD">
        <w:rPr>
          <w:szCs w:val="16"/>
        </w:rPr>
        <w:t>U.S. Census 2023 American Community survey 5-year estimates (2019-2023)</w:t>
      </w:r>
    </w:p>
  </w:footnote>
  <w:footnote w:id="16">
    <w:p w14:paraId="57BCF138" w14:textId="775311EB" w:rsidR="0073675B" w:rsidRPr="00DB7FAD" w:rsidRDefault="0073675B">
      <w:pPr>
        <w:pStyle w:val="FootnoteText"/>
      </w:pPr>
      <w:r w:rsidRPr="00DB7FAD">
        <w:rPr>
          <w:rStyle w:val="FootnoteReference"/>
        </w:rPr>
        <w:footnoteRef/>
      </w:r>
      <w:r w:rsidRPr="00DB7FAD">
        <w:t xml:space="preserve"> </w:t>
      </w:r>
      <w:r w:rsidRPr="00DB7FAD">
        <w:rPr>
          <w:szCs w:val="16"/>
        </w:rPr>
        <w:t>Information provided directly from Mullica Township</w:t>
      </w:r>
    </w:p>
  </w:footnote>
  <w:footnote w:id="17">
    <w:p w14:paraId="57034264" w14:textId="3F212EEF" w:rsidR="006D7964" w:rsidRDefault="006D7964">
      <w:pPr>
        <w:pStyle w:val="FootnoteText"/>
      </w:pPr>
      <w:r w:rsidRPr="00DB7FAD">
        <w:rPr>
          <w:rStyle w:val="FootnoteReference"/>
        </w:rPr>
        <w:footnoteRef/>
      </w:r>
      <w:r w:rsidRPr="00DB7FAD">
        <w:t xml:space="preserve"> </w:t>
      </w:r>
      <w:r w:rsidRPr="001F3C8E">
        <w:rPr>
          <w:szCs w:val="16"/>
        </w:rPr>
        <w:t>U.S. Census 2023 American Community survey 5-year estimates (2019-2023)</w:t>
      </w:r>
    </w:p>
  </w:footnote>
  <w:footnote w:id="18">
    <w:p w14:paraId="753A92EB" w14:textId="1AAB4EA1" w:rsidR="00460793" w:rsidRDefault="00460793">
      <w:pPr>
        <w:pStyle w:val="FootnoteText"/>
      </w:pPr>
      <w:r>
        <w:rPr>
          <w:rStyle w:val="FootnoteReference"/>
        </w:rPr>
        <w:footnoteRef/>
      </w:r>
      <w:r>
        <w:t xml:space="preserve"> </w:t>
      </w:r>
      <w:r w:rsidRPr="00B05C90">
        <w:rPr>
          <w:szCs w:val="16"/>
        </w:rPr>
        <w:t>H. Daniel. (2018)</w:t>
      </w:r>
      <w:r w:rsidR="00993110" w:rsidRPr="00B05C90">
        <w:rPr>
          <w:szCs w:val="16"/>
        </w:rPr>
        <w:t>.</w:t>
      </w:r>
      <w:r w:rsidRPr="00B05C90">
        <w:rPr>
          <w:szCs w:val="16"/>
        </w:rPr>
        <w:t xml:space="preserve"> </w:t>
      </w:r>
      <w:r w:rsidRPr="00B05C90">
        <w:rPr>
          <w:iCs/>
          <w:szCs w:val="16"/>
        </w:rPr>
        <w:t>Addressing Social Determinants to Improve Patient Care and Promote Health Equity</w:t>
      </w:r>
      <w:r w:rsidR="00993110">
        <w:rPr>
          <w:szCs w:val="16"/>
        </w:rPr>
        <w:t xml:space="preserve">. </w:t>
      </w:r>
      <w:r w:rsidR="00566C2E" w:rsidRPr="00566C2E">
        <w:rPr>
          <w:szCs w:val="16"/>
        </w:rPr>
        <w:t>An American College of Physicians Position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51CE" w14:textId="77777777" w:rsidR="001E0A80" w:rsidRDefault="001E0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486983"/>
      <w:docPartObj>
        <w:docPartGallery w:val="Watermarks"/>
        <w:docPartUnique/>
      </w:docPartObj>
    </w:sdtPr>
    <w:sdtContent>
      <w:p w14:paraId="62BFB120" w14:textId="770D6230" w:rsidR="001E0A80" w:rsidRDefault="001E0A80">
        <w:pPr>
          <w:pStyle w:val="Header"/>
        </w:pPr>
        <w:r>
          <w:rPr>
            <w:noProof/>
          </w:rPr>
          <w:pict w14:anchorId="6FD66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2D0C" w14:textId="77777777" w:rsidR="001E0A80" w:rsidRDefault="001E0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5C8AD5E"/>
    <w:lvl w:ilvl="0">
      <w:start w:val="1"/>
      <w:numFmt w:val="decimal"/>
      <w:pStyle w:val="ListNumber6ptbefore"/>
      <w:lvlText w:val="%1."/>
      <w:lvlJc w:val="left"/>
      <w:pPr>
        <w:tabs>
          <w:tab w:val="num" w:pos="360"/>
        </w:tabs>
        <w:ind w:left="360" w:hanging="360"/>
      </w:pPr>
    </w:lvl>
  </w:abstractNum>
  <w:abstractNum w:abstractNumId="1" w15:restartNumberingAfterBreak="0">
    <w:nsid w:val="00000001"/>
    <w:multiLevelType w:val="multilevel"/>
    <w:tmpl w:val="F3104790"/>
    <w:lvl w:ilvl="0">
      <w:start w:val="1"/>
      <w:numFmt w:val="decimal"/>
      <w:pStyle w:val="PRT"/>
      <w:suff w:val="nothing"/>
      <w:lvlText w:val="PART %1 "/>
      <w:lvlJc w:val="left"/>
      <w:pPr>
        <w:ind w:left="0" w:firstLine="0"/>
      </w:pPr>
      <w:rPr>
        <w:rFonts w:ascii="Arial" w:hAnsi="Arial" w:cs="Times New Roman" w:hint="default"/>
        <w:b/>
        <w:bCs w:val="0"/>
        <w:i w:val="0"/>
        <w:iCs w:val="0"/>
        <w:caps w:val="0"/>
        <w:smallCaps w:val="0"/>
        <w:strike w:val="0"/>
        <w:dstrike w:val="0"/>
        <w:noProof w:val="0"/>
        <w:vanish w:val="0"/>
        <w:color w:val="000000"/>
        <w:spacing w:val="0"/>
        <w:kern w:val="0"/>
        <w:position w:val="0"/>
        <w:sz w:val="2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RT"/>
      <w:lvlText w:val="%1.%2"/>
      <w:lvlJc w:val="left"/>
      <w:pPr>
        <w:tabs>
          <w:tab w:val="num" w:pos="720"/>
        </w:tabs>
        <w:ind w:left="720" w:hanging="720"/>
      </w:pPr>
      <w:rPr>
        <w:rFonts w:ascii="Arial" w:hAnsi="Arial" w:hint="default"/>
        <w:b w:val="0"/>
        <w:i w:val="0"/>
        <w:sz w:val="20"/>
      </w:rPr>
    </w:lvl>
    <w:lvl w:ilvl="2">
      <w:start w:val="1"/>
      <w:numFmt w:val="upperLetter"/>
      <w:pStyle w:val="PR1"/>
      <w:lvlText w:val="%3."/>
      <w:lvlJc w:val="left"/>
      <w:pPr>
        <w:ind w:left="1440" w:hanging="720"/>
      </w:pPr>
      <w:rPr>
        <w:rFonts w:ascii="Arial" w:hAnsi="Arial" w:hint="default"/>
        <w:b w:val="0"/>
        <w:i w:val="0"/>
        <w:sz w:val="20"/>
      </w:rPr>
    </w:lvl>
    <w:lvl w:ilvl="3">
      <w:start w:val="1"/>
      <w:numFmt w:val="decimal"/>
      <w:pStyle w:val="PR2"/>
      <w:lvlText w:val="%4."/>
      <w:lvlJc w:val="left"/>
      <w:pPr>
        <w:tabs>
          <w:tab w:val="num" w:pos="2160"/>
        </w:tabs>
        <w:ind w:left="1440" w:firstLine="0"/>
      </w:pPr>
      <w:rPr>
        <w:rFonts w:ascii="Arial" w:hAnsi="Arial" w:hint="default"/>
        <w:b w:val="0"/>
        <w:i w:val="0"/>
        <w:sz w:val="20"/>
      </w:rPr>
    </w:lvl>
    <w:lvl w:ilvl="4">
      <w:start w:val="1"/>
      <w:numFmt w:val="lowerLetter"/>
      <w:pStyle w:val="PR3"/>
      <w:lvlText w:val="%5."/>
      <w:lvlJc w:val="left"/>
      <w:pPr>
        <w:tabs>
          <w:tab w:val="num" w:pos="2880"/>
        </w:tabs>
        <w:ind w:left="2880" w:hanging="720"/>
      </w:pPr>
      <w:rPr>
        <w:rFonts w:hint="default"/>
      </w:rPr>
    </w:lvl>
    <w:lvl w:ilvl="5">
      <w:start w:val="1"/>
      <w:numFmt w:val="decimal"/>
      <w:pStyle w:val="PR4"/>
      <w:lvlText w:val="%6)"/>
      <w:lvlJc w:val="left"/>
      <w:pPr>
        <w:tabs>
          <w:tab w:val="num" w:pos="3600"/>
        </w:tabs>
        <w:ind w:left="3600" w:hanging="720"/>
      </w:pPr>
      <w:rPr>
        <w:rFonts w:ascii="Arial" w:hAnsi="Arial" w:hint="default"/>
        <w:b w:val="0"/>
        <w:i w:val="0"/>
        <w:sz w:val="20"/>
      </w:rPr>
    </w:lvl>
    <w:lvl w:ilvl="6">
      <w:start w:val="1"/>
      <w:numFmt w:val="lowerLetter"/>
      <w:pStyle w:val="PR5"/>
      <w:lvlText w:val="%7)"/>
      <w:lvlJc w:val="left"/>
      <w:pPr>
        <w:tabs>
          <w:tab w:val="num" w:pos="4320"/>
        </w:tabs>
        <w:ind w:left="4320" w:hanging="72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0067275E"/>
    <w:multiLevelType w:val="multilevel"/>
    <w:tmpl w:val="E418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F4BE6"/>
    <w:multiLevelType w:val="hybridMultilevel"/>
    <w:tmpl w:val="6772EE64"/>
    <w:lvl w:ilvl="0" w:tplc="4A40F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D1AF8"/>
    <w:multiLevelType w:val="hybridMultilevel"/>
    <w:tmpl w:val="B09C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C45AC"/>
    <w:multiLevelType w:val="hybridMultilevel"/>
    <w:tmpl w:val="3B688A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5627C"/>
    <w:multiLevelType w:val="multilevel"/>
    <w:tmpl w:val="6290C560"/>
    <w:styleLink w:val="HeadingNumbering"/>
    <w:lvl w:ilvl="0">
      <w:start w:val="1"/>
      <w:numFmt w:val="decimal"/>
      <w:lvlText w:val="%1."/>
      <w:lvlJc w:val="left"/>
      <w:pPr>
        <w:ind w:left="720" w:hanging="720"/>
      </w:pPr>
      <w:rPr>
        <w:rFonts w:hint="default"/>
        <w:color w:val="000000" w:themeColor="text2"/>
        <w:sz w:val="28"/>
        <w:szCs w:val="32"/>
      </w:rPr>
    </w:lvl>
    <w:lvl w:ilvl="1">
      <w:start w:val="1"/>
      <w:numFmt w:val="decimal"/>
      <w:lvlText w:val="%1.%2"/>
      <w:lvlJc w:val="left"/>
      <w:pPr>
        <w:ind w:left="720" w:hanging="720"/>
      </w:pPr>
      <w:rPr>
        <w:rFonts w:hint="default"/>
        <w:color w:val="007DA4" w:themeColor="accent3"/>
      </w:rPr>
    </w:lvl>
    <w:lvl w:ilvl="2">
      <w:start w:val="1"/>
      <w:numFmt w:val="decimal"/>
      <w:lvlText w:val="%1.%2.%3"/>
      <w:lvlJc w:val="left"/>
      <w:pPr>
        <w:ind w:left="720" w:hanging="720"/>
      </w:pPr>
      <w:rPr>
        <w:rFonts w:hint="default"/>
        <w:color w:val="007DA4" w:themeColor="accent3"/>
      </w:rPr>
    </w:lvl>
    <w:lvl w:ilvl="3">
      <w:start w:val="1"/>
      <w:numFmt w:val="decimal"/>
      <w:lvlText w:val="%1.%2.%3.%4"/>
      <w:lvlJc w:val="left"/>
      <w:pPr>
        <w:ind w:left="1008" w:hanging="1008"/>
      </w:pPr>
      <w:rPr>
        <w:rFonts w:hint="default"/>
        <w:color w:val="007DA4" w:themeColor="accent3"/>
      </w:rPr>
    </w:lvl>
    <w:lvl w:ilvl="4">
      <w:start w:val="1"/>
      <w:numFmt w:val="decimal"/>
      <w:lvlText w:val="%1.%2.%3.%4.%5"/>
      <w:lvlJc w:val="left"/>
      <w:pPr>
        <w:ind w:left="1008" w:hanging="1008"/>
      </w:pPr>
      <w:rPr>
        <w:rFonts w:hint="default"/>
        <w:color w:val="165C7D" w:themeColor="accent5"/>
      </w:rPr>
    </w:lvl>
    <w:lvl w:ilvl="5">
      <w:start w:val="1"/>
      <w:numFmt w:val="decimal"/>
      <w:lvlText w:val="%1.%2.%3.%4.%5.%6"/>
      <w:lvlJc w:val="left"/>
      <w:pPr>
        <w:ind w:left="1152" w:hanging="1152"/>
      </w:pPr>
      <w:rPr>
        <w:rFonts w:hint="default"/>
        <w:color w:val="165C7D" w:themeColor="accent5"/>
      </w:rPr>
    </w:lvl>
    <w:lvl w:ilvl="6">
      <w:start w:val="1"/>
      <w:numFmt w:val="decimal"/>
      <w:lvlText w:val="%1.%2.%3.%4.%5.%6.%7"/>
      <w:lvlJc w:val="left"/>
      <w:pPr>
        <w:ind w:left="1440" w:hanging="1440"/>
      </w:pPr>
      <w:rPr>
        <w:rFonts w:hint="default"/>
        <w:color w:val="000000" w:themeColor="text2"/>
      </w:rPr>
    </w:lvl>
    <w:lvl w:ilvl="7">
      <w:start w:val="1"/>
      <w:numFmt w:val="upperLetter"/>
      <w:lvlText w:val="%8."/>
      <w:lvlJc w:val="left"/>
      <w:pPr>
        <w:ind w:left="720" w:hanging="360"/>
      </w:pPr>
      <w:rPr>
        <w:rFonts w:hint="default"/>
        <w:color w:val="000000" w:themeColor="text2"/>
      </w:rPr>
    </w:lvl>
    <w:lvl w:ilvl="8">
      <w:start w:val="1"/>
      <w:numFmt w:val="lowerLetter"/>
      <w:lvlText w:val="%9."/>
      <w:lvlJc w:val="left"/>
      <w:pPr>
        <w:ind w:left="1080" w:hanging="360"/>
      </w:pPr>
      <w:rPr>
        <w:rFonts w:hint="default"/>
        <w:color w:val="000000" w:themeColor="text2"/>
      </w:rPr>
    </w:lvl>
  </w:abstractNum>
  <w:abstractNum w:abstractNumId="7" w15:restartNumberingAfterBreak="0">
    <w:nsid w:val="167B2346"/>
    <w:multiLevelType w:val="hybridMultilevel"/>
    <w:tmpl w:val="D08409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FA76ECD"/>
    <w:multiLevelType w:val="hybridMultilevel"/>
    <w:tmpl w:val="22B610FA"/>
    <w:lvl w:ilvl="0" w:tplc="2962D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14EE9"/>
    <w:multiLevelType w:val="hybridMultilevel"/>
    <w:tmpl w:val="09F8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77A59"/>
    <w:multiLevelType w:val="hybridMultilevel"/>
    <w:tmpl w:val="EEF6F6CC"/>
    <w:lvl w:ilvl="0" w:tplc="532ACCB2">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A16BAE"/>
    <w:multiLevelType w:val="hybridMultilevel"/>
    <w:tmpl w:val="74B2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67D76"/>
    <w:multiLevelType w:val="hybridMultilevel"/>
    <w:tmpl w:val="C65C3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F5366"/>
    <w:multiLevelType w:val="hybridMultilevel"/>
    <w:tmpl w:val="686E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43CCA"/>
    <w:multiLevelType w:val="hybridMultilevel"/>
    <w:tmpl w:val="B468A3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47C6A"/>
    <w:multiLevelType w:val="hybridMultilevel"/>
    <w:tmpl w:val="7C589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23DC0"/>
    <w:multiLevelType w:val="hybridMultilevel"/>
    <w:tmpl w:val="84A41684"/>
    <w:lvl w:ilvl="0" w:tplc="F30A8A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56539"/>
    <w:multiLevelType w:val="hybridMultilevel"/>
    <w:tmpl w:val="05DE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F1647"/>
    <w:multiLevelType w:val="hybridMultilevel"/>
    <w:tmpl w:val="500A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608D8"/>
    <w:multiLevelType w:val="hybridMultilevel"/>
    <w:tmpl w:val="E5D4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978F4"/>
    <w:multiLevelType w:val="multilevel"/>
    <w:tmpl w:val="EFA8B25C"/>
    <w:styleLink w:val="HABullets"/>
    <w:lvl w:ilvl="0">
      <w:start w:val="1"/>
      <w:numFmt w:val="bullet"/>
      <w:lvlText w:val=""/>
      <w:lvlJc w:val="left"/>
      <w:pPr>
        <w:ind w:left="720" w:hanging="360"/>
      </w:pPr>
      <w:rPr>
        <w:rFonts w:ascii="Wingdings" w:hAnsi="Wingdings" w:hint="default"/>
        <w:b/>
        <w:i w:val="0"/>
        <w:color w:val="007DA4" w:themeColor="accent3"/>
        <w:sz w:val="22"/>
      </w:rPr>
    </w:lvl>
    <w:lvl w:ilvl="1">
      <w:start w:val="1"/>
      <w:numFmt w:val="bullet"/>
      <w:lvlText w:val="–"/>
      <w:lvlJc w:val="left"/>
      <w:pPr>
        <w:ind w:left="1440" w:hanging="360"/>
      </w:pPr>
      <w:rPr>
        <w:rFonts w:ascii="CG Times" w:hAnsi="CG Times" w:hint="default"/>
        <w:b/>
        <w:i w:val="0"/>
        <w:color w:val="007DA4" w:themeColor="accent3"/>
        <w:sz w:val="22"/>
      </w:rPr>
    </w:lvl>
    <w:lvl w:ilvl="2">
      <w:start w:val="1"/>
      <w:numFmt w:val="bullet"/>
      <w:lvlText w:val=""/>
      <w:lvlJc w:val="left"/>
      <w:pPr>
        <w:ind w:left="2160" w:hanging="360"/>
      </w:pPr>
      <w:rPr>
        <w:rFonts w:ascii="Wingdings" w:hAnsi="Wingdings" w:hint="default"/>
        <w:color w:val="007DA4" w:themeColor="accent3"/>
        <w:u w:color="007DA4" w:themeColor="accent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672B36"/>
    <w:multiLevelType w:val="hybridMultilevel"/>
    <w:tmpl w:val="E740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B67C2"/>
    <w:multiLevelType w:val="multilevel"/>
    <w:tmpl w:val="E280EB3E"/>
    <w:lvl w:ilvl="0">
      <w:start w:val="1"/>
      <w:numFmt w:val="bullet"/>
      <w:lvlText w:val=""/>
      <w:lvlJc w:val="left"/>
      <w:pPr>
        <w:tabs>
          <w:tab w:val="num" w:pos="720"/>
        </w:tabs>
        <w:ind w:left="720" w:hanging="360"/>
      </w:pPr>
      <w:rPr>
        <w:rFonts w:ascii="Symbol" w:hAnsi="Symbol" w:hint="default"/>
        <w:color w:val="007DA4"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D3A0E"/>
    <w:multiLevelType w:val="multilevel"/>
    <w:tmpl w:val="B590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C75C18"/>
    <w:multiLevelType w:val="multilevel"/>
    <w:tmpl w:val="A0427EA2"/>
    <w:lvl w:ilvl="0">
      <w:numFmt w:val="none"/>
      <w:lvlText w:val=""/>
      <w:lvlJc w:val="left"/>
      <w:pPr>
        <w:tabs>
          <w:tab w:val="num" w:pos="0"/>
        </w:tabs>
        <w:ind w:left="0" w:firstLine="0"/>
      </w:pPr>
      <w:rPr>
        <w:rFonts w:ascii="CG Times" w:hAnsi="CG Times" w:hint="default"/>
        <w:b/>
        <w:i w:val="0"/>
        <w:caps/>
        <w:sz w:val="22"/>
      </w:rPr>
    </w:lvl>
    <w:lvl w:ilvl="1">
      <w:numFmt w:val="none"/>
      <w:lvlText w:val=""/>
      <w:lvlJc w:val="left"/>
      <w:pPr>
        <w:tabs>
          <w:tab w:val="num" w:pos="0"/>
        </w:tabs>
        <w:ind w:left="0" w:firstLine="0"/>
      </w:pPr>
      <w:rPr>
        <w:rFonts w:ascii="CG Times" w:hAnsi="CG Times" w:hint="default"/>
        <w:b/>
        <w:i w:val="0"/>
        <w:sz w:val="22"/>
      </w:rPr>
    </w:lvl>
    <w:lvl w:ilvl="2">
      <w:start w:val="1"/>
      <w:numFmt w:val="upperLetter"/>
      <w:lvlText w:val="%3."/>
      <w:lvlJc w:val="left"/>
      <w:pPr>
        <w:tabs>
          <w:tab w:val="num" w:pos="720"/>
        </w:tabs>
        <w:ind w:left="720" w:hanging="720"/>
      </w:pPr>
      <w:rPr>
        <w:rFonts w:ascii="CG Times" w:hAnsi="CG Times" w:hint="default"/>
        <w:b/>
        <w:i w:val="0"/>
      </w:rPr>
    </w:lvl>
    <w:lvl w:ilvl="3">
      <w:numFmt w:val="bullet"/>
      <w:lvlText w:val=""/>
      <w:lvlJc w:val="left"/>
      <w:pPr>
        <w:tabs>
          <w:tab w:val="num" w:pos="720"/>
        </w:tabs>
        <w:ind w:left="720" w:firstLine="0"/>
      </w:pPr>
      <w:rPr>
        <w:rFonts w:ascii="Wingdings 2" w:hAnsi="Wingdings 2" w:hint="default"/>
        <w:b w:val="0"/>
        <w:i w:val="0"/>
        <w:sz w:val="18"/>
      </w:rPr>
    </w:lvl>
    <w:lvl w:ilvl="4">
      <w:start w:val="1"/>
      <w:numFmt w:val="bullet"/>
      <w:lvlText w:val="–"/>
      <w:lvlJc w:val="left"/>
      <w:pPr>
        <w:tabs>
          <w:tab w:val="num" w:pos="720"/>
        </w:tabs>
        <w:ind w:left="1440" w:firstLine="0"/>
      </w:pPr>
      <w:rPr>
        <w:rFonts w:ascii="CG Times" w:hAnsi="CG Times" w:hint="default"/>
        <w:b w:val="0"/>
        <w:sz w:val="22"/>
      </w:rPr>
    </w:lvl>
    <w:lvl w:ilvl="5">
      <w:start w:val="1"/>
      <w:numFmt w:val="lowerLetter"/>
      <w:lvlText w:val="(%6)"/>
      <w:lvlJc w:val="left"/>
      <w:pPr>
        <w:tabs>
          <w:tab w:val="num" w:pos="432"/>
        </w:tabs>
        <w:ind w:left="1872" w:hanging="432"/>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530B1CF4"/>
    <w:multiLevelType w:val="hybridMultilevel"/>
    <w:tmpl w:val="EC50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64247"/>
    <w:multiLevelType w:val="multilevel"/>
    <w:tmpl w:val="8A72C2AC"/>
    <w:lvl w:ilvl="0">
      <w:start w:val="1"/>
      <w:numFmt w:val="bullet"/>
      <w:pStyle w:val="Bullet1ss"/>
      <w:lvlText w:val=""/>
      <w:lvlJc w:val="left"/>
      <w:pPr>
        <w:ind w:left="720" w:hanging="360"/>
      </w:pPr>
      <w:rPr>
        <w:rFonts w:ascii="Wingdings" w:hAnsi="Wingdings" w:hint="default"/>
        <w:b/>
        <w:i w:val="0"/>
        <w:color w:val="007DA4" w:themeColor="accent3"/>
        <w:sz w:val="22"/>
      </w:rPr>
    </w:lvl>
    <w:lvl w:ilvl="1">
      <w:start w:val="1"/>
      <w:numFmt w:val="bullet"/>
      <w:pStyle w:val="Bullet2"/>
      <w:lvlText w:val="–"/>
      <w:lvlJc w:val="left"/>
      <w:pPr>
        <w:ind w:left="1440" w:hanging="360"/>
      </w:pPr>
      <w:rPr>
        <w:rFonts w:ascii="CG Times" w:hAnsi="CG Times" w:hint="default"/>
        <w:b/>
        <w:i w:val="0"/>
        <w:color w:val="007DA4" w:themeColor="accent3"/>
        <w:sz w:val="22"/>
      </w:rPr>
    </w:lvl>
    <w:lvl w:ilvl="2">
      <w:start w:val="1"/>
      <w:numFmt w:val="bullet"/>
      <w:pStyle w:val="Bullet3"/>
      <w:lvlText w:val=""/>
      <w:lvlJc w:val="left"/>
      <w:pPr>
        <w:ind w:left="2160" w:hanging="360"/>
      </w:pPr>
      <w:rPr>
        <w:rFonts w:ascii="Wingdings" w:hAnsi="Wingdings" w:hint="default"/>
        <w:color w:val="007DA4" w:themeColor="accent3"/>
        <w:u w:color="007DA4" w:themeColor="accent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0104E3"/>
    <w:multiLevelType w:val="hybridMultilevel"/>
    <w:tmpl w:val="9B44252E"/>
    <w:lvl w:ilvl="0" w:tplc="121E4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1E30FA"/>
    <w:multiLevelType w:val="hybridMultilevel"/>
    <w:tmpl w:val="4DE227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62A11147"/>
    <w:multiLevelType w:val="hybridMultilevel"/>
    <w:tmpl w:val="D8060C0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64FE1"/>
    <w:multiLevelType w:val="hybridMultilevel"/>
    <w:tmpl w:val="599E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940F4"/>
    <w:multiLevelType w:val="multilevel"/>
    <w:tmpl w:val="0B169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E6DEA"/>
    <w:multiLevelType w:val="hybridMultilevel"/>
    <w:tmpl w:val="090E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54514"/>
    <w:multiLevelType w:val="hybridMultilevel"/>
    <w:tmpl w:val="A4A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EB5A8A"/>
    <w:multiLevelType w:val="hybridMultilevel"/>
    <w:tmpl w:val="8E6A12C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E2220"/>
    <w:multiLevelType w:val="hybridMultilevel"/>
    <w:tmpl w:val="B00C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254DDE"/>
    <w:multiLevelType w:val="hybridMultilevel"/>
    <w:tmpl w:val="14F6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749D6"/>
    <w:multiLevelType w:val="hybridMultilevel"/>
    <w:tmpl w:val="E35A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17B07"/>
    <w:multiLevelType w:val="hybridMultilevel"/>
    <w:tmpl w:val="627A44C2"/>
    <w:lvl w:ilvl="0" w:tplc="EAF67E2C">
      <w:start w:val="1"/>
      <w:numFmt w:val="bullet"/>
      <w:pStyle w:val="HABullet2SingleReturn"/>
      <w:lvlText w:val=""/>
      <w:lvlJc w:val="left"/>
      <w:pPr>
        <w:tabs>
          <w:tab w:val="num" w:pos="864"/>
        </w:tabs>
        <w:ind w:left="864"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CA4DAC"/>
    <w:multiLevelType w:val="hybridMultilevel"/>
    <w:tmpl w:val="0E9CD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C2F7249"/>
    <w:multiLevelType w:val="hybridMultilevel"/>
    <w:tmpl w:val="300EF60A"/>
    <w:lvl w:ilvl="0" w:tplc="7D2EAC4A">
      <w:start w:val="1"/>
      <w:numFmt w:val="bullet"/>
      <w:lvlText w:val=""/>
      <w:lvlJc w:val="left"/>
      <w:pPr>
        <w:ind w:left="720" w:hanging="360"/>
      </w:pPr>
      <w:rPr>
        <w:rFonts w:ascii="Symbol" w:hAnsi="Symbol"/>
      </w:rPr>
    </w:lvl>
    <w:lvl w:ilvl="1" w:tplc="1B0022B8">
      <w:start w:val="1"/>
      <w:numFmt w:val="bullet"/>
      <w:lvlText w:val=""/>
      <w:lvlJc w:val="left"/>
      <w:pPr>
        <w:ind w:left="720" w:hanging="360"/>
      </w:pPr>
      <w:rPr>
        <w:rFonts w:ascii="Symbol" w:hAnsi="Symbol"/>
      </w:rPr>
    </w:lvl>
    <w:lvl w:ilvl="2" w:tplc="753C15D2">
      <w:start w:val="1"/>
      <w:numFmt w:val="bullet"/>
      <w:lvlText w:val=""/>
      <w:lvlJc w:val="left"/>
      <w:pPr>
        <w:ind w:left="720" w:hanging="360"/>
      </w:pPr>
      <w:rPr>
        <w:rFonts w:ascii="Symbol" w:hAnsi="Symbol"/>
      </w:rPr>
    </w:lvl>
    <w:lvl w:ilvl="3" w:tplc="94586C56">
      <w:start w:val="1"/>
      <w:numFmt w:val="bullet"/>
      <w:lvlText w:val=""/>
      <w:lvlJc w:val="left"/>
      <w:pPr>
        <w:ind w:left="720" w:hanging="360"/>
      </w:pPr>
      <w:rPr>
        <w:rFonts w:ascii="Symbol" w:hAnsi="Symbol"/>
      </w:rPr>
    </w:lvl>
    <w:lvl w:ilvl="4" w:tplc="845406B4">
      <w:start w:val="1"/>
      <w:numFmt w:val="bullet"/>
      <w:lvlText w:val=""/>
      <w:lvlJc w:val="left"/>
      <w:pPr>
        <w:ind w:left="720" w:hanging="360"/>
      </w:pPr>
      <w:rPr>
        <w:rFonts w:ascii="Symbol" w:hAnsi="Symbol"/>
      </w:rPr>
    </w:lvl>
    <w:lvl w:ilvl="5" w:tplc="98F8015C">
      <w:start w:val="1"/>
      <w:numFmt w:val="bullet"/>
      <w:lvlText w:val=""/>
      <w:lvlJc w:val="left"/>
      <w:pPr>
        <w:ind w:left="720" w:hanging="360"/>
      </w:pPr>
      <w:rPr>
        <w:rFonts w:ascii="Symbol" w:hAnsi="Symbol"/>
      </w:rPr>
    </w:lvl>
    <w:lvl w:ilvl="6" w:tplc="9F3EA2AC">
      <w:start w:val="1"/>
      <w:numFmt w:val="bullet"/>
      <w:lvlText w:val=""/>
      <w:lvlJc w:val="left"/>
      <w:pPr>
        <w:ind w:left="720" w:hanging="360"/>
      </w:pPr>
      <w:rPr>
        <w:rFonts w:ascii="Symbol" w:hAnsi="Symbol"/>
      </w:rPr>
    </w:lvl>
    <w:lvl w:ilvl="7" w:tplc="17C64ED8">
      <w:start w:val="1"/>
      <w:numFmt w:val="bullet"/>
      <w:lvlText w:val=""/>
      <w:lvlJc w:val="left"/>
      <w:pPr>
        <w:ind w:left="720" w:hanging="360"/>
      </w:pPr>
      <w:rPr>
        <w:rFonts w:ascii="Symbol" w:hAnsi="Symbol"/>
      </w:rPr>
    </w:lvl>
    <w:lvl w:ilvl="8" w:tplc="117CFF4A">
      <w:start w:val="1"/>
      <w:numFmt w:val="bullet"/>
      <w:lvlText w:val=""/>
      <w:lvlJc w:val="left"/>
      <w:pPr>
        <w:ind w:left="720" w:hanging="360"/>
      </w:pPr>
      <w:rPr>
        <w:rFonts w:ascii="Symbol" w:hAnsi="Symbol"/>
      </w:rPr>
    </w:lvl>
  </w:abstractNum>
  <w:num w:numId="1" w16cid:durableId="533464183">
    <w:abstractNumId w:val="10"/>
  </w:num>
  <w:num w:numId="2" w16cid:durableId="782962688">
    <w:abstractNumId w:val="1"/>
  </w:num>
  <w:num w:numId="3" w16cid:durableId="953024623">
    <w:abstractNumId w:val="0"/>
  </w:num>
  <w:num w:numId="4" w16cid:durableId="174392698">
    <w:abstractNumId w:val="20"/>
  </w:num>
  <w:num w:numId="5" w16cid:durableId="1720785644">
    <w:abstractNumId w:val="26"/>
  </w:num>
  <w:num w:numId="6" w16cid:durableId="76900250">
    <w:abstractNumId w:val="38"/>
  </w:num>
  <w:num w:numId="7" w16cid:durableId="1479302176">
    <w:abstractNumId w:val="6"/>
  </w:num>
  <w:num w:numId="8" w16cid:durableId="1661540733">
    <w:abstractNumId w:val="5"/>
  </w:num>
  <w:num w:numId="9" w16cid:durableId="1161774822">
    <w:abstractNumId w:val="3"/>
  </w:num>
  <w:num w:numId="10" w16cid:durableId="1711950073">
    <w:abstractNumId w:val="14"/>
  </w:num>
  <w:num w:numId="11" w16cid:durableId="590970417">
    <w:abstractNumId w:val="37"/>
  </w:num>
  <w:num w:numId="12" w16cid:durableId="1407997554">
    <w:abstractNumId w:val="18"/>
  </w:num>
  <w:num w:numId="13" w16cid:durableId="1806317268">
    <w:abstractNumId w:val="17"/>
  </w:num>
  <w:num w:numId="14" w16cid:durableId="241642615">
    <w:abstractNumId w:val="8"/>
  </w:num>
  <w:num w:numId="15" w16cid:durableId="573664973">
    <w:abstractNumId w:val="29"/>
  </w:num>
  <w:num w:numId="16" w16cid:durableId="590553944">
    <w:abstractNumId w:val="13"/>
  </w:num>
  <w:num w:numId="17" w16cid:durableId="181626831">
    <w:abstractNumId w:val="34"/>
  </w:num>
  <w:num w:numId="18" w16cid:durableId="1349989954">
    <w:abstractNumId w:val="25"/>
  </w:num>
  <w:num w:numId="19" w16cid:durableId="1593971828">
    <w:abstractNumId w:val="32"/>
  </w:num>
  <w:num w:numId="20" w16cid:durableId="658072382">
    <w:abstractNumId w:val="27"/>
  </w:num>
  <w:num w:numId="21" w16cid:durableId="2067945748">
    <w:abstractNumId w:val="26"/>
  </w:num>
  <w:num w:numId="22" w16cid:durableId="510919117">
    <w:abstractNumId w:val="26"/>
  </w:num>
  <w:num w:numId="23" w16cid:durableId="1232502164">
    <w:abstractNumId w:val="26"/>
  </w:num>
  <w:num w:numId="24" w16cid:durableId="618336027">
    <w:abstractNumId w:val="26"/>
  </w:num>
  <w:num w:numId="25" w16cid:durableId="887378992">
    <w:abstractNumId w:val="26"/>
  </w:num>
  <w:num w:numId="26" w16cid:durableId="1879125357">
    <w:abstractNumId w:val="26"/>
  </w:num>
  <w:num w:numId="27" w16cid:durableId="2093158085">
    <w:abstractNumId w:val="26"/>
  </w:num>
  <w:num w:numId="28" w16cid:durableId="1144741462">
    <w:abstractNumId w:val="0"/>
  </w:num>
  <w:num w:numId="29" w16cid:durableId="1393694792">
    <w:abstractNumId w:val="12"/>
  </w:num>
  <w:num w:numId="30" w16cid:durableId="153910342">
    <w:abstractNumId w:val="39"/>
  </w:num>
  <w:num w:numId="31" w16cid:durableId="1254124123">
    <w:abstractNumId w:val="16"/>
  </w:num>
  <w:num w:numId="32" w16cid:durableId="162937976">
    <w:abstractNumId w:val="4"/>
  </w:num>
  <w:num w:numId="33" w16cid:durableId="1254507943">
    <w:abstractNumId w:val="30"/>
  </w:num>
  <w:num w:numId="34" w16cid:durableId="631206141">
    <w:abstractNumId w:val="28"/>
  </w:num>
  <w:num w:numId="35" w16cid:durableId="1027491006">
    <w:abstractNumId w:val="36"/>
  </w:num>
  <w:num w:numId="36" w16cid:durableId="1080372039">
    <w:abstractNumId w:val="35"/>
  </w:num>
  <w:num w:numId="37" w16cid:durableId="531650356">
    <w:abstractNumId w:val="19"/>
  </w:num>
  <w:num w:numId="38" w16cid:durableId="785734359">
    <w:abstractNumId w:val="9"/>
  </w:num>
  <w:num w:numId="39" w16cid:durableId="240915416">
    <w:abstractNumId w:val="33"/>
  </w:num>
  <w:num w:numId="40" w16cid:durableId="1141074662">
    <w:abstractNumId w:val="21"/>
  </w:num>
  <w:num w:numId="41" w16cid:durableId="1483500849">
    <w:abstractNumId w:val="15"/>
  </w:num>
  <w:num w:numId="42" w16cid:durableId="267322215">
    <w:abstractNumId w:val="23"/>
  </w:num>
  <w:num w:numId="43" w16cid:durableId="1614628548">
    <w:abstractNumId w:val="31"/>
  </w:num>
  <w:num w:numId="44" w16cid:durableId="1157265243">
    <w:abstractNumId w:val="22"/>
  </w:num>
  <w:num w:numId="45" w16cid:durableId="1242787459">
    <w:abstractNumId w:val="2"/>
  </w:num>
  <w:num w:numId="46" w16cid:durableId="1653482124">
    <w:abstractNumId w:val="7"/>
  </w:num>
  <w:num w:numId="47" w16cid:durableId="1763720264">
    <w:abstractNumId w:val="26"/>
  </w:num>
  <w:num w:numId="48" w16cid:durableId="521746120">
    <w:abstractNumId w:val="40"/>
  </w:num>
  <w:num w:numId="49" w16cid:durableId="1086850402">
    <w:abstractNumId w:val="11"/>
  </w:num>
  <w:num w:numId="50" w16cid:durableId="1242908246">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7B"/>
    <w:rsid w:val="000015FB"/>
    <w:rsid w:val="000016CF"/>
    <w:rsid w:val="00002152"/>
    <w:rsid w:val="00002455"/>
    <w:rsid w:val="0000288C"/>
    <w:rsid w:val="000038B8"/>
    <w:rsid w:val="00005BF5"/>
    <w:rsid w:val="0000604C"/>
    <w:rsid w:val="00006910"/>
    <w:rsid w:val="0000788D"/>
    <w:rsid w:val="00010238"/>
    <w:rsid w:val="00011066"/>
    <w:rsid w:val="00011150"/>
    <w:rsid w:val="000118F7"/>
    <w:rsid w:val="00012BB6"/>
    <w:rsid w:val="00013C14"/>
    <w:rsid w:val="0001468E"/>
    <w:rsid w:val="000146EE"/>
    <w:rsid w:val="00014766"/>
    <w:rsid w:val="00014CAB"/>
    <w:rsid w:val="0001542F"/>
    <w:rsid w:val="000154B4"/>
    <w:rsid w:val="00015C08"/>
    <w:rsid w:val="00015C7E"/>
    <w:rsid w:val="000161CF"/>
    <w:rsid w:val="00016AC3"/>
    <w:rsid w:val="00016D07"/>
    <w:rsid w:val="0001710D"/>
    <w:rsid w:val="00017532"/>
    <w:rsid w:val="00017A1F"/>
    <w:rsid w:val="000207E6"/>
    <w:rsid w:val="000225FF"/>
    <w:rsid w:val="0002322F"/>
    <w:rsid w:val="00023BDF"/>
    <w:rsid w:val="000241B2"/>
    <w:rsid w:val="00024853"/>
    <w:rsid w:val="00024FF0"/>
    <w:rsid w:val="0002536A"/>
    <w:rsid w:val="00025C2F"/>
    <w:rsid w:val="00025CC1"/>
    <w:rsid w:val="00025FAB"/>
    <w:rsid w:val="00026797"/>
    <w:rsid w:val="0002690E"/>
    <w:rsid w:val="000272D5"/>
    <w:rsid w:val="0002791C"/>
    <w:rsid w:val="00030383"/>
    <w:rsid w:val="00030951"/>
    <w:rsid w:val="0003195C"/>
    <w:rsid w:val="00033341"/>
    <w:rsid w:val="00033A04"/>
    <w:rsid w:val="00034387"/>
    <w:rsid w:val="0003588A"/>
    <w:rsid w:val="000359C1"/>
    <w:rsid w:val="00035C8F"/>
    <w:rsid w:val="00036052"/>
    <w:rsid w:val="000371B5"/>
    <w:rsid w:val="00037830"/>
    <w:rsid w:val="00037BE2"/>
    <w:rsid w:val="00040891"/>
    <w:rsid w:val="00040918"/>
    <w:rsid w:val="000413E0"/>
    <w:rsid w:val="0004256F"/>
    <w:rsid w:val="0004266D"/>
    <w:rsid w:val="00043B58"/>
    <w:rsid w:val="00044289"/>
    <w:rsid w:val="00044455"/>
    <w:rsid w:val="00044C41"/>
    <w:rsid w:val="00045165"/>
    <w:rsid w:val="0004520C"/>
    <w:rsid w:val="000452DE"/>
    <w:rsid w:val="0004635A"/>
    <w:rsid w:val="000465D6"/>
    <w:rsid w:val="00046A6E"/>
    <w:rsid w:val="00050ADB"/>
    <w:rsid w:val="00050DAA"/>
    <w:rsid w:val="00051946"/>
    <w:rsid w:val="00051FB2"/>
    <w:rsid w:val="00053763"/>
    <w:rsid w:val="00054D5A"/>
    <w:rsid w:val="00055754"/>
    <w:rsid w:val="00055DA9"/>
    <w:rsid w:val="00056974"/>
    <w:rsid w:val="000573F5"/>
    <w:rsid w:val="000601FC"/>
    <w:rsid w:val="00060B9C"/>
    <w:rsid w:val="00061254"/>
    <w:rsid w:val="00061D91"/>
    <w:rsid w:val="0006372C"/>
    <w:rsid w:val="00063B12"/>
    <w:rsid w:val="00064F11"/>
    <w:rsid w:val="00064FA3"/>
    <w:rsid w:val="000665EF"/>
    <w:rsid w:val="0006667F"/>
    <w:rsid w:val="00066B27"/>
    <w:rsid w:val="0006724D"/>
    <w:rsid w:val="00067AEC"/>
    <w:rsid w:val="0007082E"/>
    <w:rsid w:val="00071C78"/>
    <w:rsid w:val="00071FAE"/>
    <w:rsid w:val="00072234"/>
    <w:rsid w:val="00072945"/>
    <w:rsid w:val="00074361"/>
    <w:rsid w:val="00075C52"/>
    <w:rsid w:val="00076285"/>
    <w:rsid w:val="000762D0"/>
    <w:rsid w:val="000763D2"/>
    <w:rsid w:val="0007660B"/>
    <w:rsid w:val="00076951"/>
    <w:rsid w:val="00077B56"/>
    <w:rsid w:val="0008004F"/>
    <w:rsid w:val="000806DD"/>
    <w:rsid w:val="00081B26"/>
    <w:rsid w:val="00081B7A"/>
    <w:rsid w:val="00082028"/>
    <w:rsid w:val="00082152"/>
    <w:rsid w:val="0008290D"/>
    <w:rsid w:val="00082A52"/>
    <w:rsid w:val="00082D63"/>
    <w:rsid w:val="00083011"/>
    <w:rsid w:val="00083A04"/>
    <w:rsid w:val="00084122"/>
    <w:rsid w:val="00085077"/>
    <w:rsid w:val="0008558C"/>
    <w:rsid w:val="00085CE2"/>
    <w:rsid w:val="00085CF7"/>
    <w:rsid w:val="00086112"/>
    <w:rsid w:val="00086252"/>
    <w:rsid w:val="000866F3"/>
    <w:rsid w:val="00086886"/>
    <w:rsid w:val="000868AB"/>
    <w:rsid w:val="00087E2A"/>
    <w:rsid w:val="00090330"/>
    <w:rsid w:val="0009092D"/>
    <w:rsid w:val="00092D06"/>
    <w:rsid w:val="000941B2"/>
    <w:rsid w:val="00095412"/>
    <w:rsid w:val="0009551C"/>
    <w:rsid w:val="00095534"/>
    <w:rsid w:val="00095986"/>
    <w:rsid w:val="00095EAE"/>
    <w:rsid w:val="000969BF"/>
    <w:rsid w:val="00096B18"/>
    <w:rsid w:val="00097614"/>
    <w:rsid w:val="00097A8B"/>
    <w:rsid w:val="00097E03"/>
    <w:rsid w:val="000A066A"/>
    <w:rsid w:val="000A14C8"/>
    <w:rsid w:val="000A2B3E"/>
    <w:rsid w:val="000A32EE"/>
    <w:rsid w:val="000A3C02"/>
    <w:rsid w:val="000A3E71"/>
    <w:rsid w:val="000A494C"/>
    <w:rsid w:val="000A4A15"/>
    <w:rsid w:val="000A5148"/>
    <w:rsid w:val="000A51CD"/>
    <w:rsid w:val="000A5AEF"/>
    <w:rsid w:val="000A5C09"/>
    <w:rsid w:val="000A6D3B"/>
    <w:rsid w:val="000A76E6"/>
    <w:rsid w:val="000B05B0"/>
    <w:rsid w:val="000B14E7"/>
    <w:rsid w:val="000B1F24"/>
    <w:rsid w:val="000B248F"/>
    <w:rsid w:val="000B3030"/>
    <w:rsid w:val="000B3244"/>
    <w:rsid w:val="000B4AFD"/>
    <w:rsid w:val="000B4D7B"/>
    <w:rsid w:val="000B6419"/>
    <w:rsid w:val="000B653B"/>
    <w:rsid w:val="000B6AE0"/>
    <w:rsid w:val="000C0162"/>
    <w:rsid w:val="000C02E2"/>
    <w:rsid w:val="000C0327"/>
    <w:rsid w:val="000C0A63"/>
    <w:rsid w:val="000C1D4D"/>
    <w:rsid w:val="000C21D5"/>
    <w:rsid w:val="000C35A6"/>
    <w:rsid w:val="000C3BA0"/>
    <w:rsid w:val="000C40F6"/>
    <w:rsid w:val="000C44C4"/>
    <w:rsid w:val="000C4B57"/>
    <w:rsid w:val="000C56C8"/>
    <w:rsid w:val="000C58CD"/>
    <w:rsid w:val="000C5DD7"/>
    <w:rsid w:val="000C5F35"/>
    <w:rsid w:val="000C65C7"/>
    <w:rsid w:val="000C66CD"/>
    <w:rsid w:val="000C6875"/>
    <w:rsid w:val="000C723B"/>
    <w:rsid w:val="000D02DE"/>
    <w:rsid w:val="000D0402"/>
    <w:rsid w:val="000D0515"/>
    <w:rsid w:val="000D0AE3"/>
    <w:rsid w:val="000D10A5"/>
    <w:rsid w:val="000D11F1"/>
    <w:rsid w:val="000D16DE"/>
    <w:rsid w:val="000D19BB"/>
    <w:rsid w:val="000D2AC6"/>
    <w:rsid w:val="000D398E"/>
    <w:rsid w:val="000D3A67"/>
    <w:rsid w:val="000D3E12"/>
    <w:rsid w:val="000D4025"/>
    <w:rsid w:val="000D453C"/>
    <w:rsid w:val="000D4EF0"/>
    <w:rsid w:val="000D62ED"/>
    <w:rsid w:val="000D6B09"/>
    <w:rsid w:val="000D7C5E"/>
    <w:rsid w:val="000E0737"/>
    <w:rsid w:val="000E07C8"/>
    <w:rsid w:val="000E1223"/>
    <w:rsid w:val="000E1417"/>
    <w:rsid w:val="000E15F7"/>
    <w:rsid w:val="000E1D0D"/>
    <w:rsid w:val="000E1E73"/>
    <w:rsid w:val="000E24D4"/>
    <w:rsid w:val="000E24FC"/>
    <w:rsid w:val="000E2569"/>
    <w:rsid w:val="000E26EC"/>
    <w:rsid w:val="000E33F2"/>
    <w:rsid w:val="000E422D"/>
    <w:rsid w:val="000E5048"/>
    <w:rsid w:val="000E5B74"/>
    <w:rsid w:val="000E61C9"/>
    <w:rsid w:val="000E6521"/>
    <w:rsid w:val="000E6524"/>
    <w:rsid w:val="000E79F5"/>
    <w:rsid w:val="000E7DAB"/>
    <w:rsid w:val="000F0333"/>
    <w:rsid w:val="000F0B2E"/>
    <w:rsid w:val="000F0B9E"/>
    <w:rsid w:val="000F0BA5"/>
    <w:rsid w:val="000F0FD4"/>
    <w:rsid w:val="000F1447"/>
    <w:rsid w:val="000F2776"/>
    <w:rsid w:val="000F3EEE"/>
    <w:rsid w:val="000F3FCF"/>
    <w:rsid w:val="000F4385"/>
    <w:rsid w:val="000F498D"/>
    <w:rsid w:val="000F4AD5"/>
    <w:rsid w:val="000F56D1"/>
    <w:rsid w:val="000F70F2"/>
    <w:rsid w:val="000F7157"/>
    <w:rsid w:val="000F7CBA"/>
    <w:rsid w:val="000F7F37"/>
    <w:rsid w:val="001007BE"/>
    <w:rsid w:val="00100E63"/>
    <w:rsid w:val="00100FC0"/>
    <w:rsid w:val="0010152B"/>
    <w:rsid w:val="00101650"/>
    <w:rsid w:val="00101749"/>
    <w:rsid w:val="00101CE6"/>
    <w:rsid w:val="00104202"/>
    <w:rsid w:val="00104CC1"/>
    <w:rsid w:val="0010575A"/>
    <w:rsid w:val="00105824"/>
    <w:rsid w:val="00106049"/>
    <w:rsid w:val="001063DD"/>
    <w:rsid w:val="001066D7"/>
    <w:rsid w:val="00107103"/>
    <w:rsid w:val="00107DB0"/>
    <w:rsid w:val="001117D7"/>
    <w:rsid w:val="00111EFD"/>
    <w:rsid w:val="00111FF3"/>
    <w:rsid w:val="00112201"/>
    <w:rsid w:val="0011244F"/>
    <w:rsid w:val="00112BEC"/>
    <w:rsid w:val="00112EC6"/>
    <w:rsid w:val="00112EDF"/>
    <w:rsid w:val="001145CF"/>
    <w:rsid w:val="00114641"/>
    <w:rsid w:val="00115D1E"/>
    <w:rsid w:val="00116209"/>
    <w:rsid w:val="00116D6E"/>
    <w:rsid w:val="00117849"/>
    <w:rsid w:val="001205B3"/>
    <w:rsid w:val="0012095A"/>
    <w:rsid w:val="001227BA"/>
    <w:rsid w:val="00122DB8"/>
    <w:rsid w:val="00122E42"/>
    <w:rsid w:val="00122E84"/>
    <w:rsid w:val="00122EB3"/>
    <w:rsid w:val="0012385E"/>
    <w:rsid w:val="00123FFC"/>
    <w:rsid w:val="00124596"/>
    <w:rsid w:val="00124938"/>
    <w:rsid w:val="00124C2E"/>
    <w:rsid w:val="00124F81"/>
    <w:rsid w:val="00125265"/>
    <w:rsid w:val="001258C3"/>
    <w:rsid w:val="001267AE"/>
    <w:rsid w:val="001269A0"/>
    <w:rsid w:val="00127576"/>
    <w:rsid w:val="00127826"/>
    <w:rsid w:val="001306D8"/>
    <w:rsid w:val="00131E70"/>
    <w:rsid w:val="00133464"/>
    <w:rsid w:val="00133F4E"/>
    <w:rsid w:val="0013402B"/>
    <w:rsid w:val="00134A86"/>
    <w:rsid w:val="00134B0C"/>
    <w:rsid w:val="00134E2E"/>
    <w:rsid w:val="00135492"/>
    <w:rsid w:val="0013554F"/>
    <w:rsid w:val="00135C34"/>
    <w:rsid w:val="0013688B"/>
    <w:rsid w:val="00136E04"/>
    <w:rsid w:val="0013734C"/>
    <w:rsid w:val="001376C3"/>
    <w:rsid w:val="00137876"/>
    <w:rsid w:val="00137ACF"/>
    <w:rsid w:val="00137D4D"/>
    <w:rsid w:val="00137EB5"/>
    <w:rsid w:val="00137F7E"/>
    <w:rsid w:val="00140A88"/>
    <w:rsid w:val="00140AF5"/>
    <w:rsid w:val="00141914"/>
    <w:rsid w:val="00142169"/>
    <w:rsid w:val="0014247B"/>
    <w:rsid w:val="0014287D"/>
    <w:rsid w:val="00143052"/>
    <w:rsid w:val="001430ED"/>
    <w:rsid w:val="00143174"/>
    <w:rsid w:val="00143C99"/>
    <w:rsid w:val="001440FF"/>
    <w:rsid w:val="00144445"/>
    <w:rsid w:val="00144750"/>
    <w:rsid w:val="00144BD6"/>
    <w:rsid w:val="00145B59"/>
    <w:rsid w:val="00145B62"/>
    <w:rsid w:val="00145F25"/>
    <w:rsid w:val="001460E9"/>
    <w:rsid w:val="00146147"/>
    <w:rsid w:val="00146173"/>
    <w:rsid w:val="00146176"/>
    <w:rsid w:val="0014646E"/>
    <w:rsid w:val="00147696"/>
    <w:rsid w:val="001476F7"/>
    <w:rsid w:val="00147CC6"/>
    <w:rsid w:val="0015030E"/>
    <w:rsid w:val="001513EF"/>
    <w:rsid w:val="001518B9"/>
    <w:rsid w:val="001520E8"/>
    <w:rsid w:val="001522BC"/>
    <w:rsid w:val="001527AC"/>
    <w:rsid w:val="00152F8E"/>
    <w:rsid w:val="00153129"/>
    <w:rsid w:val="0015312C"/>
    <w:rsid w:val="00153D8B"/>
    <w:rsid w:val="00154C58"/>
    <w:rsid w:val="00154DFE"/>
    <w:rsid w:val="001553E3"/>
    <w:rsid w:val="001558CA"/>
    <w:rsid w:val="00156044"/>
    <w:rsid w:val="00156447"/>
    <w:rsid w:val="00157DA4"/>
    <w:rsid w:val="00157EEB"/>
    <w:rsid w:val="00160CB7"/>
    <w:rsid w:val="00161A32"/>
    <w:rsid w:val="00161D88"/>
    <w:rsid w:val="00162574"/>
    <w:rsid w:val="00163A01"/>
    <w:rsid w:val="00163AFC"/>
    <w:rsid w:val="00163DE1"/>
    <w:rsid w:val="00164D48"/>
    <w:rsid w:val="00165167"/>
    <w:rsid w:val="001657D5"/>
    <w:rsid w:val="00166393"/>
    <w:rsid w:val="001678DD"/>
    <w:rsid w:val="00170060"/>
    <w:rsid w:val="001709C9"/>
    <w:rsid w:val="00170C32"/>
    <w:rsid w:val="00170D18"/>
    <w:rsid w:val="0017108F"/>
    <w:rsid w:val="00171846"/>
    <w:rsid w:val="00171E1B"/>
    <w:rsid w:val="001721C4"/>
    <w:rsid w:val="00172FCB"/>
    <w:rsid w:val="0017329E"/>
    <w:rsid w:val="0017343E"/>
    <w:rsid w:val="00173480"/>
    <w:rsid w:val="001735A2"/>
    <w:rsid w:val="001736A8"/>
    <w:rsid w:val="00174391"/>
    <w:rsid w:val="00174487"/>
    <w:rsid w:val="00174B50"/>
    <w:rsid w:val="00174FBF"/>
    <w:rsid w:val="00176054"/>
    <w:rsid w:val="00177D8D"/>
    <w:rsid w:val="00181E82"/>
    <w:rsid w:val="00182101"/>
    <w:rsid w:val="00182DEB"/>
    <w:rsid w:val="00182DF6"/>
    <w:rsid w:val="0018337D"/>
    <w:rsid w:val="001835E3"/>
    <w:rsid w:val="00183711"/>
    <w:rsid w:val="00183AC8"/>
    <w:rsid w:val="00183B34"/>
    <w:rsid w:val="00184002"/>
    <w:rsid w:val="00184543"/>
    <w:rsid w:val="0018491C"/>
    <w:rsid w:val="00184A83"/>
    <w:rsid w:val="00185062"/>
    <w:rsid w:val="0018539C"/>
    <w:rsid w:val="00185A53"/>
    <w:rsid w:val="00185E8E"/>
    <w:rsid w:val="00186DA1"/>
    <w:rsid w:val="00187133"/>
    <w:rsid w:val="001874A2"/>
    <w:rsid w:val="00187564"/>
    <w:rsid w:val="001875F5"/>
    <w:rsid w:val="001909EF"/>
    <w:rsid w:val="00191596"/>
    <w:rsid w:val="00191B7F"/>
    <w:rsid w:val="0019241B"/>
    <w:rsid w:val="001928F3"/>
    <w:rsid w:val="00192AF8"/>
    <w:rsid w:val="00194DF6"/>
    <w:rsid w:val="001951A8"/>
    <w:rsid w:val="001955B6"/>
    <w:rsid w:val="0019583A"/>
    <w:rsid w:val="00195C35"/>
    <w:rsid w:val="001960DB"/>
    <w:rsid w:val="00196505"/>
    <w:rsid w:val="0019680A"/>
    <w:rsid w:val="00196C3A"/>
    <w:rsid w:val="00196CAB"/>
    <w:rsid w:val="00197778"/>
    <w:rsid w:val="00197F44"/>
    <w:rsid w:val="001A000D"/>
    <w:rsid w:val="001A2D2F"/>
    <w:rsid w:val="001A3633"/>
    <w:rsid w:val="001A3DF7"/>
    <w:rsid w:val="001A560A"/>
    <w:rsid w:val="001A6CED"/>
    <w:rsid w:val="001A71CC"/>
    <w:rsid w:val="001A7F53"/>
    <w:rsid w:val="001B0169"/>
    <w:rsid w:val="001B04B7"/>
    <w:rsid w:val="001B138B"/>
    <w:rsid w:val="001B1455"/>
    <w:rsid w:val="001B176C"/>
    <w:rsid w:val="001B1CC8"/>
    <w:rsid w:val="001B26DD"/>
    <w:rsid w:val="001B2B09"/>
    <w:rsid w:val="001B326E"/>
    <w:rsid w:val="001B39C5"/>
    <w:rsid w:val="001B5A44"/>
    <w:rsid w:val="001B6176"/>
    <w:rsid w:val="001B65B4"/>
    <w:rsid w:val="001B6819"/>
    <w:rsid w:val="001B6DE5"/>
    <w:rsid w:val="001B7050"/>
    <w:rsid w:val="001B78AB"/>
    <w:rsid w:val="001B7910"/>
    <w:rsid w:val="001C017B"/>
    <w:rsid w:val="001C0AEB"/>
    <w:rsid w:val="001C105C"/>
    <w:rsid w:val="001C1E0F"/>
    <w:rsid w:val="001C1E72"/>
    <w:rsid w:val="001C2191"/>
    <w:rsid w:val="001C2C7B"/>
    <w:rsid w:val="001C31F0"/>
    <w:rsid w:val="001C3542"/>
    <w:rsid w:val="001C38E4"/>
    <w:rsid w:val="001C3973"/>
    <w:rsid w:val="001C3B0F"/>
    <w:rsid w:val="001C415B"/>
    <w:rsid w:val="001C4852"/>
    <w:rsid w:val="001C6553"/>
    <w:rsid w:val="001C6A36"/>
    <w:rsid w:val="001C77EC"/>
    <w:rsid w:val="001D03C5"/>
    <w:rsid w:val="001D18FA"/>
    <w:rsid w:val="001D2673"/>
    <w:rsid w:val="001D2FD0"/>
    <w:rsid w:val="001D32A4"/>
    <w:rsid w:val="001D5752"/>
    <w:rsid w:val="001D5ACD"/>
    <w:rsid w:val="001D5F0A"/>
    <w:rsid w:val="001D6105"/>
    <w:rsid w:val="001D64C2"/>
    <w:rsid w:val="001D6613"/>
    <w:rsid w:val="001D67B9"/>
    <w:rsid w:val="001D6DDE"/>
    <w:rsid w:val="001D755B"/>
    <w:rsid w:val="001D7CAD"/>
    <w:rsid w:val="001E039D"/>
    <w:rsid w:val="001E0572"/>
    <w:rsid w:val="001E0A80"/>
    <w:rsid w:val="001E11EB"/>
    <w:rsid w:val="001E1328"/>
    <w:rsid w:val="001E13EA"/>
    <w:rsid w:val="001E2CB8"/>
    <w:rsid w:val="001E2F6F"/>
    <w:rsid w:val="001E32F5"/>
    <w:rsid w:val="001E33A5"/>
    <w:rsid w:val="001E3513"/>
    <w:rsid w:val="001E368A"/>
    <w:rsid w:val="001E3ECD"/>
    <w:rsid w:val="001E49C5"/>
    <w:rsid w:val="001E4BCB"/>
    <w:rsid w:val="001E5089"/>
    <w:rsid w:val="001E53AB"/>
    <w:rsid w:val="001E6042"/>
    <w:rsid w:val="001E632C"/>
    <w:rsid w:val="001E6E6E"/>
    <w:rsid w:val="001F0F23"/>
    <w:rsid w:val="001F1888"/>
    <w:rsid w:val="001F1BD4"/>
    <w:rsid w:val="001F1F7D"/>
    <w:rsid w:val="001F2355"/>
    <w:rsid w:val="001F30AE"/>
    <w:rsid w:val="001F3177"/>
    <w:rsid w:val="001F3C8E"/>
    <w:rsid w:val="001F5049"/>
    <w:rsid w:val="001F68A6"/>
    <w:rsid w:val="001F68D9"/>
    <w:rsid w:val="001F6969"/>
    <w:rsid w:val="001F6D79"/>
    <w:rsid w:val="001F700D"/>
    <w:rsid w:val="001F7E1A"/>
    <w:rsid w:val="001F7E79"/>
    <w:rsid w:val="00200B07"/>
    <w:rsid w:val="00200B7D"/>
    <w:rsid w:val="0020121B"/>
    <w:rsid w:val="00201512"/>
    <w:rsid w:val="0020158F"/>
    <w:rsid w:val="002016CE"/>
    <w:rsid w:val="00202657"/>
    <w:rsid w:val="00202714"/>
    <w:rsid w:val="00202788"/>
    <w:rsid w:val="00203078"/>
    <w:rsid w:val="00203C6D"/>
    <w:rsid w:val="0020418C"/>
    <w:rsid w:val="0020481A"/>
    <w:rsid w:val="00204E8A"/>
    <w:rsid w:val="00204F44"/>
    <w:rsid w:val="00205333"/>
    <w:rsid w:val="00205648"/>
    <w:rsid w:val="00205C00"/>
    <w:rsid w:val="0020667C"/>
    <w:rsid w:val="00206FF7"/>
    <w:rsid w:val="00207AD9"/>
    <w:rsid w:val="00210D1A"/>
    <w:rsid w:val="00211622"/>
    <w:rsid w:val="00211CD4"/>
    <w:rsid w:val="00212B71"/>
    <w:rsid w:val="00212CB9"/>
    <w:rsid w:val="00214114"/>
    <w:rsid w:val="00214587"/>
    <w:rsid w:val="00214629"/>
    <w:rsid w:val="00214943"/>
    <w:rsid w:val="00214E49"/>
    <w:rsid w:val="002155DF"/>
    <w:rsid w:val="0021584C"/>
    <w:rsid w:val="00216191"/>
    <w:rsid w:val="002165BD"/>
    <w:rsid w:val="00216F5B"/>
    <w:rsid w:val="002175DC"/>
    <w:rsid w:val="0021779B"/>
    <w:rsid w:val="0021789E"/>
    <w:rsid w:val="002200E4"/>
    <w:rsid w:val="0022041D"/>
    <w:rsid w:val="0022096A"/>
    <w:rsid w:val="00220CA8"/>
    <w:rsid w:val="0022363B"/>
    <w:rsid w:val="00224BE6"/>
    <w:rsid w:val="0022588D"/>
    <w:rsid w:val="002260E6"/>
    <w:rsid w:val="0022685F"/>
    <w:rsid w:val="00226ECB"/>
    <w:rsid w:val="0023025F"/>
    <w:rsid w:val="00230FA3"/>
    <w:rsid w:val="0023133C"/>
    <w:rsid w:val="0023136C"/>
    <w:rsid w:val="002313B8"/>
    <w:rsid w:val="00231F79"/>
    <w:rsid w:val="002326E9"/>
    <w:rsid w:val="00232B3F"/>
    <w:rsid w:val="00234190"/>
    <w:rsid w:val="002357AC"/>
    <w:rsid w:val="002360EA"/>
    <w:rsid w:val="002364F9"/>
    <w:rsid w:val="00236A23"/>
    <w:rsid w:val="00237029"/>
    <w:rsid w:val="00237346"/>
    <w:rsid w:val="002374E5"/>
    <w:rsid w:val="00237BE7"/>
    <w:rsid w:val="00237D70"/>
    <w:rsid w:val="00240533"/>
    <w:rsid w:val="00240FBD"/>
    <w:rsid w:val="002413C8"/>
    <w:rsid w:val="00241A1B"/>
    <w:rsid w:val="00241A53"/>
    <w:rsid w:val="00241C7A"/>
    <w:rsid w:val="00241E95"/>
    <w:rsid w:val="00242267"/>
    <w:rsid w:val="00244358"/>
    <w:rsid w:val="00244B40"/>
    <w:rsid w:val="002456F2"/>
    <w:rsid w:val="0024579D"/>
    <w:rsid w:val="00245D90"/>
    <w:rsid w:val="002465DB"/>
    <w:rsid w:val="0024759A"/>
    <w:rsid w:val="00247984"/>
    <w:rsid w:val="00247C80"/>
    <w:rsid w:val="00250509"/>
    <w:rsid w:val="00250A76"/>
    <w:rsid w:val="00250FF2"/>
    <w:rsid w:val="00251398"/>
    <w:rsid w:val="00252267"/>
    <w:rsid w:val="002523EB"/>
    <w:rsid w:val="00253041"/>
    <w:rsid w:val="0025352C"/>
    <w:rsid w:val="00255261"/>
    <w:rsid w:val="00255344"/>
    <w:rsid w:val="00255BC1"/>
    <w:rsid w:val="00257270"/>
    <w:rsid w:val="00257FD8"/>
    <w:rsid w:val="002622B2"/>
    <w:rsid w:val="00262FFE"/>
    <w:rsid w:val="002645C9"/>
    <w:rsid w:val="00265004"/>
    <w:rsid w:val="00265A3C"/>
    <w:rsid w:val="00265AC5"/>
    <w:rsid w:val="00266374"/>
    <w:rsid w:val="002664B1"/>
    <w:rsid w:val="0026770B"/>
    <w:rsid w:val="00267C4F"/>
    <w:rsid w:val="00270AE2"/>
    <w:rsid w:val="00270C59"/>
    <w:rsid w:val="002713FF"/>
    <w:rsid w:val="00271EB8"/>
    <w:rsid w:val="0027241F"/>
    <w:rsid w:val="00273175"/>
    <w:rsid w:val="002733A1"/>
    <w:rsid w:val="00273CCB"/>
    <w:rsid w:val="0027484D"/>
    <w:rsid w:val="00275AC1"/>
    <w:rsid w:val="00275ACB"/>
    <w:rsid w:val="0027689E"/>
    <w:rsid w:val="00276C09"/>
    <w:rsid w:val="00276D61"/>
    <w:rsid w:val="002772CA"/>
    <w:rsid w:val="0028075E"/>
    <w:rsid w:val="00282621"/>
    <w:rsid w:val="0028304B"/>
    <w:rsid w:val="0028540B"/>
    <w:rsid w:val="002858A4"/>
    <w:rsid w:val="00285E02"/>
    <w:rsid w:val="002861ED"/>
    <w:rsid w:val="0028748D"/>
    <w:rsid w:val="00287977"/>
    <w:rsid w:val="00287DB2"/>
    <w:rsid w:val="00287DC0"/>
    <w:rsid w:val="00287EFC"/>
    <w:rsid w:val="002901F3"/>
    <w:rsid w:val="00290DF3"/>
    <w:rsid w:val="00291261"/>
    <w:rsid w:val="002922AB"/>
    <w:rsid w:val="00292B14"/>
    <w:rsid w:val="00293442"/>
    <w:rsid w:val="00293781"/>
    <w:rsid w:val="00293D96"/>
    <w:rsid w:val="00294FB2"/>
    <w:rsid w:val="002956CD"/>
    <w:rsid w:val="00296B06"/>
    <w:rsid w:val="0029766D"/>
    <w:rsid w:val="002A0A35"/>
    <w:rsid w:val="002A1155"/>
    <w:rsid w:val="002A11F1"/>
    <w:rsid w:val="002A1A80"/>
    <w:rsid w:val="002A24E4"/>
    <w:rsid w:val="002A29AB"/>
    <w:rsid w:val="002A3D7F"/>
    <w:rsid w:val="002A3ED7"/>
    <w:rsid w:val="002A62D2"/>
    <w:rsid w:val="002A63CB"/>
    <w:rsid w:val="002A6546"/>
    <w:rsid w:val="002A6587"/>
    <w:rsid w:val="002A7321"/>
    <w:rsid w:val="002B0E96"/>
    <w:rsid w:val="002B1628"/>
    <w:rsid w:val="002B2700"/>
    <w:rsid w:val="002B289E"/>
    <w:rsid w:val="002B2A8F"/>
    <w:rsid w:val="002B2EC7"/>
    <w:rsid w:val="002B3709"/>
    <w:rsid w:val="002B3767"/>
    <w:rsid w:val="002B456C"/>
    <w:rsid w:val="002B769C"/>
    <w:rsid w:val="002C0D82"/>
    <w:rsid w:val="002C1528"/>
    <w:rsid w:val="002C1A48"/>
    <w:rsid w:val="002C1A77"/>
    <w:rsid w:val="002C320A"/>
    <w:rsid w:val="002C402A"/>
    <w:rsid w:val="002C4425"/>
    <w:rsid w:val="002C45C5"/>
    <w:rsid w:val="002C47DF"/>
    <w:rsid w:val="002C4841"/>
    <w:rsid w:val="002C491F"/>
    <w:rsid w:val="002C4FC7"/>
    <w:rsid w:val="002C5E95"/>
    <w:rsid w:val="002C67BE"/>
    <w:rsid w:val="002C7381"/>
    <w:rsid w:val="002C73FF"/>
    <w:rsid w:val="002D08F0"/>
    <w:rsid w:val="002D0ACC"/>
    <w:rsid w:val="002D0C60"/>
    <w:rsid w:val="002D1F49"/>
    <w:rsid w:val="002D3641"/>
    <w:rsid w:val="002D4E6B"/>
    <w:rsid w:val="002D5445"/>
    <w:rsid w:val="002D6796"/>
    <w:rsid w:val="002D6841"/>
    <w:rsid w:val="002D6A66"/>
    <w:rsid w:val="002D6FC2"/>
    <w:rsid w:val="002D70AF"/>
    <w:rsid w:val="002D7DCB"/>
    <w:rsid w:val="002E02E5"/>
    <w:rsid w:val="002E03F5"/>
    <w:rsid w:val="002E0ED6"/>
    <w:rsid w:val="002E1712"/>
    <w:rsid w:val="002E1BB7"/>
    <w:rsid w:val="002E1BD7"/>
    <w:rsid w:val="002E31C7"/>
    <w:rsid w:val="002E3887"/>
    <w:rsid w:val="002E497C"/>
    <w:rsid w:val="002E5224"/>
    <w:rsid w:val="002E6018"/>
    <w:rsid w:val="002E6085"/>
    <w:rsid w:val="002E677D"/>
    <w:rsid w:val="002E6804"/>
    <w:rsid w:val="002E6A88"/>
    <w:rsid w:val="002E6D08"/>
    <w:rsid w:val="002E7C3D"/>
    <w:rsid w:val="002F0187"/>
    <w:rsid w:val="002F0703"/>
    <w:rsid w:val="002F0F71"/>
    <w:rsid w:val="002F113C"/>
    <w:rsid w:val="002F1BC4"/>
    <w:rsid w:val="002F27CF"/>
    <w:rsid w:val="002F2A35"/>
    <w:rsid w:val="002F327A"/>
    <w:rsid w:val="002F3864"/>
    <w:rsid w:val="002F3C8A"/>
    <w:rsid w:val="002F4541"/>
    <w:rsid w:val="002F4945"/>
    <w:rsid w:val="002F500F"/>
    <w:rsid w:val="002F5541"/>
    <w:rsid w:val="002F5683"/>
    <w:rsid w:val="002F64F1"/>
    <w:rsid w:val="002F7177"/>
    <w:rsid w:val="002F7253"/>
    <w:rsid w:val="002F738A"/>
    <w:rsid w:val="002F75A7"/>
    <w:rsid w:val="002F7989"/>
    <w:rsid w:val="002F7C30"/>
    <w:rsid w:val="002F7C7B"/>
    <w:rsid w:val="002F7D9A"/>
    <w:rsid w:val="00300EFF"/>
    <w:rsid w:val="00301647"/>
    <w:rsid w:val="00301C62"/>
    <w:rsid w:val="00301EAF"/>
    <w:rsid w:val="00302F8A"/>
    <w:rsid w:val="003035C8"/>
    <w:rsid w:val="003037D2"/>
    <w:rsid w:val="00304A6B"/>
    <w:rsid w:val="00304D33"/>
    <w:rsid w:val="00304F4D"/>
    <w:rsid w:val="0030522B"/>
    <w:rsid w:val="00305255"/>
    <w:rsid w:val="00305D73"/>
    <w:rsid w:val="003061DF"/>
    <w:rsid w:val="0030633D"/>
    <w:rsid w:val="003066AD"/>
    <w:rsid w:val="00306B30"/>
    <w:rsid w:val="00307131"/>
    <w:rsid w:val="003071BF"/>
    <w:rsid w:val="003074DA"/>
    <w:rsid w:val="00307BD4"/>
    <w:rsid w:val="00310847"/>
    <w:rsid w:val="0031143D"/>
    <w:rsid w:val="00311521"/>
    <w:rsid w:val="00311CA8"/>
    <w:rsid w:val="003122B1"/>
    <w:rsid w:val="00312716"/>
    <w:rsid w:val="00312B32"/>
    <w:rsid w:val="003130C8"/>
    <w:rsid w:val="00313CF8"/>
    <w:rsid w:val="003144A4"/>
    <w:rsid w:val="00315354"/>
    <w:rsid w:val="0031559B"/>
    <w:rsid w:val="003155A5"/>
    <w:rsid w:val="003167FE"/>
    <w:rsid w:val="003169D1"/>
    <w:rsid w:val="00316F6E"/>
    <w:rsid w:val="0031773C"/>
    <w:rsid w:val="00317F07"/>
    <w:rsid w:val="00320124"/>
    <w:rsid w:val="00320377"/>
    <w:rsid w:val="003209E9"/>
    <w:rsid w:val="00320A3A"/>
    <w:rsid w:val="00321D3F"/>
    <w:rsid w:val="00322A41"/>
    <w:rsid w:val="00322DA7"/>
    <w:rsid w:val="00323D11"/>
    <w:rsid w:val="00323D40"/>
    <w:rsid w:val="003242B4"/>
    <w:rsid w:val="00324949"/>
    <w:rsid w:val="00325098"/>
    <w:rsid w:val="003251B7"/>
    <w:rsid w:val="00325426"/>
    <w:rsid w:val="00325AC5"/>
    <w:rsid w:val="003266E4"/>
    <w:rsid w:val="003269E9"/>
    <w:rsid w:val="00326C4A"/>
    <w:rsid w:val="00327040"/>
    <w:rsid w:val="0032712D"/>
    <w:rsid w:val="003272A5"/>
    <w:rsid w:val="0032755F"/>
    <w:rsid w:val="00327DF1"/>
    <w:rsid w:val="003303E0"/>
    <w:rsid w:val="003306B4"/>
    <w:rsid w:val="00330A4E"/>
    <w:rsid w:val="00331566"/>
    <w:rsid w:val="003319CB"/>
    <w:rsid w:val="00331A8B"/>
    <w:rsid w:val="00332120"/>
    <w:rsid w:val="00332EDE"/>
    <w:rsid w:val="003330DB"/>
    <w:rsid w:val="00334042"/>
    <w:rsid w:val="00334622"/>
    <w:rsid w:val="00335C1E"/>
    <w:rsid w:val="00335FE2"/>
    <w:rsid w:val="003366C7"/>
    <w:rsid w:val="00336E64"/>
    <w:rsid w:val="00337ADC"/>
    <w:rsid w:val="00340652"/>
    <w:rsid w:val="00340B6D"/>
    <w:rsid w:val="00341085"/>
    <w:rsid w:val="00341297"/>
    <w:rsid w:val="00341A21"/>
    <w:rsid w:val="00342233"/>
    <w:rsid w:val="00342CF9"/>
    <w:rsid w:val="0034311A"/>
    <w:rsid w:val="003434FF"/>
    <w:rsid w:val="0034365B"/>
    <w:rsid w:val="00343B87"/>
    <w:rsid w:val="00344111"/>
    <w:rsid w:val="0034435E"/>
    <w:rsid w:val="00344451"/>
    <w:rsid w:val="003454CD"/>
    <w:rsid w:val="0034550C"/>
    <w:rsid w:val="00345A71"/>
    <w:rsid w:val="00345E32"/>
    <w:rsid w:val="00347744"/>
    <w:rsid w:val="00347F80"/>
    <w:rsid w:val="00351556"/>
    <w:rsid w:val="003519DC"/>
    <w:rsid w:val="00351A80"/>
    <w:rsid w:val="00351F2A"/>
    <w:rsid w:val="00355109"/>
    <w:rsid w:val="0035569A"/>
    <w:rsid w:val="003558DB"/>
    <w:rsid w:val="00356AA0"/>
    <w:rsid w:val="00356BFF"/>
    <w:rsid w:val="00356C9B"/>
    <w:rsid w:val="0035768E"/>
    <w:rsid w:val="00357CEF"/>
    <w:rsid w:val="003602D9"/>
    <w:rsid w:val="003609F2"/>
    <w:rsid w:val="00360CE7"/>
    <w:rsid w:val="00360D29"/>
    <w:rsid w:val="00360F18"/>
    <w:rsid w:val="00361030"/>
    <w:rsid w:val="00361B87"/>
    <w:rsid w:val="00361C68"/>
    <w:rsid w:val="00361F7B"/>
    <w:rsid w:val="0036295E"/>
    <w:rsid w:val="00363837"/>
    <w:rsid w:val="00363B47"/>
    <w:rsid w:val="003640BD"/>
    <w:rsid w:val="0036430F"/>
    <w:rsid w:val="0036495E"/>
    <w:rsid w:val="00365531"/>
    <w:rsid w:val="00365ED1"/>
    <w:rsid w:val="00365F5A"/>
    <w:rsid w:val="0036619B"/>
    <w:rsid w:val="00366E61"/>
    <w:rsid w:val="00367F00"/>
    <w:rsid w:val="00370483"/>
    <w:rsid w:val="003714C0"/>
    <w:rsid w:val="00371F1E"/>
    <w:rsid w:val="00373A53"/>
    <w:rsid w:val="00373AFB"/>
    <w:rsid w:val="00374538"/>
    <w:rsid w:val="00374D75"/>
    <w:rsid w:val="00374E49"/>
    <w:rsid w:val="00375410"/>
    <w:rsid w:val="0037591D"/>
    <w:rsid w:val="00376A75"/>
    <w:rsid w:val="003772F7"/>
    <w:rsid w:val="00377532"/>
    <w:rsid w:val="00377756"/>
    <w:rsid w:val="00377758"/>
    <w:rsid w:val="00380819"/>
    <w:rsid w:val="00380F5A"/>
    <w:rsid w:val="0038170A"/>
    <w:rsid w:val="00381776"/>
    <w:rsid w:val="00381F48"/>
    <w:rsid w:val="003825AE"/>
    <w:rsid w:val="00382766"/>
    <w:rsid w:val="003837B3"/>
    <w:rsid w:val="00383A64"/>
    <w:rsid w:val="00383C52"/>
    <w:rsid w:val="003854A4"/>
    <w:rsid w:val="00386F31"/>
    <w:rsid w:val="00387477"/>
    <w:rsid w:val="0038772B"/>
    <w:rsid w:val="00390232"/>
    <w:rsid w:val="00390457"/>
    <w:rsid w:val="00390B94"/>
    <w:rsid w:val="0039102D"/>
    <w:rsid w:val="0039226B"/>
    <w:rsid w:val="00392806"/>
    <w:rsid w:val="00392BE8"/>
    <w:rsid w:val="00393209"/>
    <w:rsid w:val="003938CA"/>
    <w:rsid w:val="0039480F"/>
    <w:rsid w:val="00394B3F"/>
    <w:rsid w:val="00395601"/>
    <w:rsid w:val="0039577B"/>
    <w:rsid w:val="00395836"/>
    <w:rsid w:val="00395934"/>
    <w:rsid w:val="00396A03"/>
    <w:rsid w:val="00396DC7"/>
    <w:rsid w:val="003A039C"/>
    <w:rsid w:val="003A06CF"/>
    <w:rsid w:val="003A1147"/>
    <w:rsid w:val="003A2059"/>
    <w:rsid w:val="003A247E"/>
    <w:rsid w:val="003A25B6"/>
    <w:rsid w:val="003A2A10"/>
    <w:rsid w:val="003A2DD1"/>
    <w:rsid w:val="003A302D"/>
    <w:rsid w:val="003A3590"/>
    <w:rsid w:val="003A3688"/>
    <w:rsid w:val="003A3EFE"/>
    <w:rsid w:val="003A4ECF"/>
    <w:rsid w:val="003A694E"/>
    <w:rsid w:val="003A6D2F"/>
    <w:rsid w:val="003B0148"/>
    <w:rsid w:val="003B0B52"/>
    <w:rsid w:val="003B0C7C"/>
    <w:rsid w:val="003B0CAF"/>
    <w:rsid w:val="003B0F18"/>
    <w:rsid w:val="003B122F"/>
    <w:rsid w:val="003B14B2"/>
    <w:rsid w:val="003B18BC"/>
    <w:rsid w:val="003B1ED6"/>
    <w:rsid w:val="003B343A"/>
    <w:rsid w:val="003B357A"/>
    <w:rsid w:val="003B4C4E"/>
    <w:rsid w:val="003B4C85"/>
    <w:rsid w:val="003B50B4"/>
    <w:rsid w:val="003B599E"/>
    <w:rsid w:val="003B5BC0"/>
    <w:rsid w:val="003B614A"/>
    <w:rsid w:val="003B6D06"/>
    <w:rsid w:val="003B6D0E"/>
    <w:rsid w:val="003B6F3C"/>
    <w:rsid w:val="003B6FCD"/>
    <w:rsid w:val="003B7187"/>
    <w:rsid w:val="003B7483"/>
    <w:rsid w:val="003B7F8C"/>
    <w:rsid w:val="003C0850"/>
    <w:rsid w:val="003C1135"/>
    <w:rsid w:val="003C1BEB"/>
    <w:rsid w:val="003C2697"/>
    <w:rsid w:val="003C49B8"/>
    <w:rsid w:val="003C5666"/>
    <w:rsid w:val="003C5853"/>
    <w:rsid w:val="003C5DEC"/>
    <w:rsid w:val="003C72A1"/>
    <w:rsid w:val="003C7377"/>
    <w:rsid w:val="003C78BD"/>
    <w:rsid w:val="003D1730"/>
    <w:rsid w:val="003D1ECB"/>
    <w:rsid w:val="003D1FE7"/>
    <w:rsid w:val="003D27AD"/>
    <w:rsid w:val="003D2E62"/>
    <w:rsid w:val="003D3073"/>
    <w:rsid w:val="003D367D"/>
    <w:rsid w:val="003D3D99"/>
    <w:rsid w:val="003D4DD2"/>
    <w:rsid w:val="003D5060"/>
    <w:rsid w:val="003D5333"/>
    <w:rsid w:val="003D6ADA"/>
    <w:rsid w:val="003D7289"/>
    <w:rsid w:val="003E07E3"/>
    <w:rsid w:val="003E0982"/>
    <w:rsid w:val="003E2199"/>
    <w:rsid w:val="003E3666"/>
    <w:rsid w:val="003E3678"/>
    <w:rsid w:val="003E3869"/>
    <w:rsid w:val="003E557A"/>
    <w:rsid w:val="003E5EE0"/>
    <w:rsid w:val="003E6944"/>
    <w:rsid w:val="003E77D3"/>
    <w:rsid w:val="003F15E3"/>
    <w:rsid w:val="003F1AE6"/>
    <w:rsid w:val="003F1C52"/>
    <w:rsid w:val="003F1E56"/>
    <w:rsid w:val="003F2590"/>
    <w:rsid w:val="003F384D"/>
    <w:rsid w:val="003F3C33"/>
    <w:rsid w:val="003F3FA5"/>
    <w:rsid w:val="003F4064"/>
    <w:rsid w:val="003F48A7"/>
    <w:rsid w:val="003F4ADD"/>
    <w:rsid w:val="003F547A"/>
    <w:rsid w:val="003F6751"/>
    <w:rsid w:val="003F719D"/>
    <w:rsid w:val="003F71BB"/>
    <w:rsid w:val="003F72AD"/>
    <w:rsid w:val="003F747A"/>
    <w:rsid w:val="003F75ED"/>
    <w:rsid w:val="003F7EF3"/>
    <w:rsid w:val="003F7F67"/>
    <w:rsid w:val="00400BE8"/>
    <w:rsid w:val="004011D5"/>
    <w:rsid w:val="0040232C"/>
    <w:rsid w:val="00403B20"/>
    <w:rsid w:val="00403F7F"/>
    <w:rsid w:val="004046A3"/>
    <w:rsid w:val="004047F0"/>
    <w:rsid w:val="004049CF"/>
    <w:rsid w:val="00405568"/>
    <w:rsid w:val="00405939"/>
    <w:rsid w:val="004060EC"/>
    <w:rsid w:val="00406240"/>
    <w:rsid w:val="00407973"/>
    <w:rsid w:val="004115A8"/>
    <w:rsid w:val="0041279D"/>
    <w:rsid w:val="00413609"/>
    <w:rsid w:val="004136EE"/>
    <w:rsid w:val="00413DE8"/>
    <w:rsid w:val="00413E85"/>
    <w:rsid w:val="00415750"/>
    <w:rsid w:val="00415AC6"/>
    <w:rsid w:val="00415B92"/>
    <w:rsid w:val="0041631C"/>
    <w:rsid w:val="0041707B"/>
    <w:rsid w:val="00420C08"/>
    <w:rsid w:val="00420E62"/>
    <w:rsid w:val="004218A0"/>
    <w:rsid w:val="004221A3"/>
    <w:rsid w:val="00422340"/>
    <w:rsid w:val="00422C9E"/>
    <w:rsid w:val="00422FF4"/>
    <w:rsid w:val="004245F6"/>
    <w:rsid w:val="00425001"/>
    <w:rsid w:val="00425337"/>
    <w:rsid w:val="00425B75"/>
    <w:rsid w:val="00425CC8"/>
    <w:rsid w:val="00426B89"/>
    <w:rsid w:val="0042715E"/>
    <w:rsid w:val="00427D10"/>
    <w:rsid w:val="00427E48"/>
    <w:rsid w:val="004303FD"/>
    <w:rsid w:val="0043107E"/>
    <w:rsid w:val="00431482"/>
    <w:rsid w:val="00431569"/>
    <w:rsid w:val="0043158B"/>
    <w:rsid w:val="004321FC"/>
    <w:rsid w:val="004323C7"/>
    <w:rsid w:val="0043249A"/>
    <w:rsid w:val="004329A4"/>
    <w:rsid w:val="004329A8"/>
    <w:rsid w:val="0043354A"/>
    <w:rsid w:val="004335C3"/>
    <w:rsid w:val="00434769"/>
    <w:rsid w:val="00434BBA"/>
    <w:rsid w:val="00435A1A"/>
    <w:rsid w:val="004365E9"/>
    <w:rsid w:val="004368BF"/>
    <w:rsid w:val="00437084"/>
    <w:rsid w:val="00437ADD"/>
    <w:rsid w:val="004401C7"/>
    <w:rsid w:val="00441081"/>
    <w:rsid w:val="00441132"/>
    <w:rsid w:val="004419F5"/>
    <w:rsid w:val="00441A6C"/>
    <w:rsid w:val="00441E39"/>
    <w:rsid w:val="00442779"/>
    <w:rsid w:val="00443447"/>
    <w:rsid w:val="00443BFB"/>
    <w:rsid w:val="00444D80"/>
    <w:rsid w:val="0044532B"/>
    <w:rsid w:val="00445BCE"/>
    <w:rsid w:val="00445EC7"/>
    <w:rsid w:val="0044601A"/>
    <w:rsid w:val="004465B3"/>
    <w:rsid w:val="00446606"/>
    <w:rsid w:val="00446A71"/>
    <w:rsid w:val="00446D99"/>
    <w:rsid w:val="004505CB"/>
    <w:rsid w:val="00451921"/>
    <w:rsid w:val="0045198E"/>
    <w:rsid w:val="0045217D"/>
    <w:rsid w:val="0045236A"/>
    <w:rsid w:val="004524FD"/>
    <w:rsid w:val="00452E1D"/>
    <w:rsid w:val="004531BC"/>
    <w:rsid w:val="004535B6"/>
    <w:rsid w:val="00453793"/>
    <w:rsid w:val="00453F69"/>
    <w:rsid w:val="0045484A"/>
    <w:rsid w:val="00454D7A"/>
    <w:rsid w:val="004550EC"/>
    <w:rsid w:val="004555A2"/>
    <w:rsid w:val="0045583D"/>
    <w:rsid w:val="00457CA1"/>
    <w:rsid w:val="00460615"/>
    <w:rsid w:val="00460793"/>
    <w:rsid w:val="0046112F"/>
    <w:rsid w:val="0046163B"/>
    <w:rsid w:val="00461984"/>
    <w:rsid w:val="00461DFE"/>
    <w:rsid w:val="00461FB0"/>
    <w:rsid w:val="004625B4"/>
    <w:rsid w:val="004626B0"/>
    <w:rsid w:val="00462C3D"/>
    <w:rsid w:val="00462D64"/>
    <w:rsid w:val="00463125"/>
    <w:rsid w:val="00463777"/>
    <w:rsid w:val="00463BFE"/>
    <w:rsid w:val="00464250"/>
    <w:rsid w:val="004648A0"/>
    <w:rsid w:val="00464C61"/>
    <w:rsid w:val="00464D65"/>
    <w:rsid w:val="004653C8"/>
    <w:rsid w:val="00465889"/>
    <w:rsid w:val="004658D7"/>
    <w:rsid w:val="00466A77"/>
    <w:rsid w:val="00466C03"/>
    <w:rsid w:val="00466D53"/>
    <w:rsid w:val="0046711C"/>
    <w:rsid w:val="00467F07"/>
    <w:rsid w:val="00470382"/>
    <w:rsid w:val="00470536"/>
    <w:rsid w:val="00470B18"/>
    <w:rsid w:val="0047107C"/>
    <w:rsid w:val="0047243A"/>
    <w:rsid w:val="004735AB"/>
    <w:rsid w:val="004735B1"/>
    <w:rsid w:val="004738E9"/>
    <w:rsid w:val="00473F6A"/>
    <w:rsid w:val="00473FDC"/>
    <w:rsid w:val="00474F6B"/>
    <w:rsid w:val="00474F8B"/>
    <w:rsid w:val="00475D60"/>
    <w:rsid w:val="00476276"/>
    <w:rsid w:val="00476C93"/>
    <w:rsid w:val="0047798F"/>
    <w:rsid w:val="00477E9A"/>
    <w:rsid w:val="00481234"/>
    <w:rsid w:val="0048332D"/>
    <w:rsid w:val="004842EF"/>
    <w:rsid w:val="00484E7F"/>
    <w:rsid w:val="00485A78"/>
    <w:rsid w:val="00486584"/>
    <w:rsid w:val="00487236"/>
    <w:rsid w:val="00487F05"/>
    <w:rsid w:val="00490703"/>
    <w:rsid w:val="00491AA9"/>
    <w:rsid w:val="00492369"/>
    <w:rsid w:val="004923A9"/>
    <w:rsid w:val="00492956"/>
    <w:rsid w:val="00492B29"/>
    <w:rsid w:val="00493A34"/>
    <w:rsid w:val="00493DA7"/>
    <w:rsid w:val="00495347"/>
    <w:rsid w:val="00495F7E"/>
    <w:rsid w:val="004961AB"/>
    <w:rsid w:val="00496E25"/>
    <w:rsid w:val="004A0177"/>
    <w:rsid w:val="004A08D7"/>
    <w:rsid w:val="004A0A56"/>
    <w:rsid w:val="004A1807"/>
    <w:rsid w:val="004A1C23"/>
    <w:rsid w:val="004A2709"/>
    <w:rsid w:val="004A2BBB"/>
    <w:rsid w:val="004A514E"/>
    <w:rsid w:val="004A552D"/>
    <w:rsid w:val="004A5C21"/>
    <w:rsid w:val="004A5DF4"/>
    <w:rsid w:val="004A60DA"/>
    <w:rsid w:val="004A6A6C"/>
    <w:rsid w:val="004A77CD"/>
    <w:rsid w:val="004A7C88"/>
    <w:rsid w:val="004A7D4E"/>
    <w:rsid w:val="004B02CF"/>
    <w:rsid w:val="004B034F"/>
    <w:rsid w:val="004B11B2"/>
    <w:rsid w:val="004B29BF"/>
    <w:rsid w:val="004B2CDF"/>
    <w:rsid w:val="004B3EF5"/>
    <w:rsid w:val="004B469F"/>
    <w:rsid w:val="004B5349"/>
    <w:rsid w:val="004B5B1B"/>
    <w:rsid w:val="004B5B95"/>
    <w:rsid w:val="004B60F4"/>
    <w:rsid w:val="004B79E4"/>
    <w:rsid w:val="004C02E4"/>
    <w:rsid w:val="004C0442"/>
    <w:rsid w:val="004C059B"/>
    <w:rsid w:val="004C0C58"/>
    <w:rsid w:val="004C0DB3"/>
    <w:rsid w:val="004C12D8"/>
    <w:rsid w:val="004C13A9"/>
    <w:rsid w:val="004C20BE"/>
    <w:rsid w:val="004C316D"/>
    <w:rsid w:val="004C40BB"/>
    <w:rsid w:val="004C5FB2"/>
    <w:rsid w:val="004D0013"/>
    <w:rsid w:val="004D185F"/>
    <w:rsid w:val="004D1A79"/>
    <w:rsid w:val="004D1B47"/>
    <w:rsid w:val="004D294F"/>
    <w:rsid w:val="004D2A44"/>
    <w:rsid w:val="004D2F4E"/>
    <w:rsid w:val="004D2FAE"/>
    <w:rsid w:val="004D3B94"/>
    <w:rsid w:val="004D3F16"/>
    <w:rsid w:val="004D5DA6"/>
    <w:rsid w:val="004D656B"/>
    <w:rsid w:val="004D6FD8"/>
    <w:rsid w:val="004D7E12"/>
    <w:rsid w:val="004D7F16"/>
    <w:rsid w:val="004E007D"/>
    <w:rsid w:val="004E00C9"/>
    <w:rsid w:val="004E14A6"/>
    <w:rsid w:val="004E16DC"/>
    <w:rsid w:val="004E1A6E"/>
    <w:rsid w:val="004E2183"/>
    <w:rsid w:val="004E24BA"/>
    <w:rsid w:val="004E2674"/>
    <w:rsid w:val="004E2E27"/>
    <w:rsid w:val="004E3051"/>
    <w:rsid w:val="004E30F4"/>
    <w:rsid w:val="004E3FA7"/>
    <w:rsid w:val="004E44AC"/>
    <w:rsid w:val="004E4750"/>
    <w:rsid w:val="004E51BD"/>
    <w:rsid w:val="004E5845"/>
    <w:rsid w:val="004E6AD5"/>
    <w:rsid w:val="004F0503"/>
    <w:rsid w:val="004F10E0"/>
    <w:rsid w:val="004F21E5"/>
    <w:rsid w:val="004F2A15"/>
    <w:rsid w:val="004F3A88"/>
    <w:rsid w:val="004F3B55"/>
    <w:rsid w:val="004F4AB4"/>
    <w:rsid w:val="004F5083"/>
    <w:rsid w:val="004F524C"/>
    <w:rsid w:val="004F5363"/>
    <w:rsid w:val="004F59B5"/>
    <w:rsid w:val="004F5BA8"/>
    <w:rsid w:val="004F61A8"/>
    <w:rsid w:val="004F7CF3"/>
    <w:rsid w:val="00500BF0"/>
    <w:rsid w:val="00500D14"/>
    <w:rsid w:val="00500E95"/>
    <w:rsid w:val="00500EBB"/>
    <w:rsid w:val="005012A8"/>
    <w:rsid w:val="00501ACE"/>
    <w:rsid w:val="00502199"/>
    <w:rsid w:val="00502473"/>
    <w:rsid w:val="0050318A"/>
    <w:rsid w:val="00503360"/>
    <w:rsid w:val="00503CE1"/>
    <w:rsid w:val="00503D53"/>
    <w:rsid w:val="0050426B"/>
    <w:rsid w:val="005045B0"/>
    <w:rsid w:val="005047A2"/>
    <w:rsid w:val="00505481"/>
    <w:rsid w:val="0050593D"/>
    <w:rsid w:val="005060A6"/>
    <w:rsid w:val="005062D7"/>
    <w:rsid w:val="005066BC"/>
    <w:rsid w:val="005070F7"/>
    <w:rsid w:val="00507DB6"/>
    <w:rsid w:val="00510B6F"/>
    <w:rsid w:val="00510E48"/>
    <w:rsid w:val="00511AF4"/>
    <w:rsid w:val="00512EFA"/>
    <w:rsid w:val="005130C0"/>
    <w:rsid w:val="00513AA2"/>
    <w:rsid w:val="00514051"/>
    <w:rsid w:val="005144F1"/>
    <w:rsid w:val="00515316"/>
    <w:rsid w:val="00515D55"/>
    <w:rsid w:val="00516176"/>
    <w:rsid w:val="0051640F"/>
    <w:rsid w:val="00516B31"/>
    <w:rsid w:val="00516DDE"/>
    <w:rsid w:val="00517242"/>
    <w:rsid w:val="005172E6"/>
    <w:rsid w:val="00520057"/>
    <w:rsid w:val="0052019D"/>
    <w:rsid w:val="0052079A"/>
    <w:rsid w:val="005215F0"/>
    <w:rsid w:val="005224FE"/>
    <w:rsid w:val="00522E73"/>
    <w:rsid w:val="00523195"/>
    <w:rsid w:val="00523AC1"/>
    <w:rsid w:val="00524428"/>
    <w:rsid w:val="00525007"/>
    <w:rsid w:val="00525362"/>
    <w:rsid w:val="00525BFB"/>
    <w:rsid w:val="00526352"/>
    <w:rsid w:val="005264BC"/>
    <w:rsid w:val="00526846"/>
    <w:rsid w:val="005273F0"/>
    <w:rsid w:val="00527533"/>
    <w:rsid w:val="005276E3"/>
    <w:rsid w:val="00527837"/>
    <w:rsid w:val="00527C0A"/>
    <w:rsid w:val="0053021E"/>
    <w:rsid w:val="00530856"/>
    <w:rsid w:val="0053219D"/>
    <w:rsid w:val="00532840"/>
    <w:rsid w:val="00533295"/>
    <w:rsid w:val="00533917"/>
    <w:rsid w:val="00533DA0"/>
    <w:rsid w:val="00535DAE"/>
    <w:rsid w:val="00536624"/>
    <w:rsid w:val="00536E8E"/>
    <w:rsid w:val="0053711B"/>
    <w:rsid w:val="00537403"/>
    <w:rsid w:val="00537EE5"/>
    <w:rsid w:val="005409F1"/>
    <w:rsid w:val="0054137D"/>
    <w:rsid w:val="00541DF9"/>
    <w:rsid w:val="0054310E"/>
    <w:rsid w:val="00543614"/>
    <w:rsid w:val="00543A82"/>
    <w:rsid w:val="00543F3B"/>
    <w:rsid w:val="00544FAB"/>
    <w:rsid w:val="00545DFB"/>
    <w:rsid w:val="00546B89"/>
    <w:rsid w:val="00546ECF"/>
    <w:rsid w:val="00547642"/>
    <w:rsid w:val="00547CC1"/>
    <w:rsid w:val="00547ED2"/>
    <w:rsid w:val="00550A81"/>
    <w:rsid w:val="00550D37"/>
    <w:rsid w:val="00551266"/>
    <w:rsid w:val="005516DE"/>
    <w:rsid w:val="0055194D"/>
    <w:rsid w:val="00551D80"/>
    <w:rsid w:val="00552A70"/>
    <w:rsid w:val="00552BA3"/>
    <w:rsid w:val="00552CF3"/>
    <w:rsid w:val="005535B8"/>
    <w:rsid w:val="00553E86"/>
    <w:rsid w:val="00553F39"/>
    <w:rsid w:val="00554335"/>
    <w:rsid w:val="00555057"/>
    <w:rsid w:val="00555868"/>
    <w:rsid w:val="005562D9"/>
    <w:rsid w:val="00556F54"/>
    <w:rsid w:val="0055774A"/>
    <w:rsid w:val="00557D11"/>
    <w:rsid w:val="00560F0D"/>
    <w:rsid w:val="005614BF"/>
    <w:rsid w:val="00561BDF"/>
    <w:rsid w:val="005624A1"/>
    <w:rsid w:val="0056264D"/>
    <w:rsid w:val="00563A2E"/>
    <w:rsid w:val="005647C5"/>
    <w:rsid w:val="005649A5"/>
    <w:rsid w:val="00564C9B"/>
    <w:rsid w:val="00564E26"/>
    <w:rsid w:val="00565A4F"/>
    <w:rsid w:val="00566593"/>
    <w:rsid w:val="00566794"/>
    <w:rsid w:val="0056692F"/>
    <w:rsid w:val="00566C2E"/>
    <w:rsid w:val="0056782B"/>
    <w:rsid w:val="00567A69"/>
    <w:rsid w:val="00567FCA"/>
    <w:rsid w:val="005704B0"/>
    <w:rsid w:val="00572DED"/>
    <w:rsid w:val="005738D7"/>
    <w:rsid w:val="0057398D"/>
    <w:rsid w:val="00573D52"/>
    <w:rsid w:val="005742F3"/>
    <w:rsid w:val="0057445E"/>
    <w:rsid w:val="00574E5E"/>
    <w:rsid w:val="00575209"/>
    <w:rsid w:val="005754F1"/>
    <w:rsid w:val="00575FC0"/>
    <w:rsid w:val="0057649F"/>
    <w:rsid w:val="0057703F"/>
    <w:rsid w:val="0058064C"/>
    <w:rsid w:val="005807FE"/>
    <w:rsid w:val="00580EFE"/>
    <w:rsid w:val="00580F5F"/>
    <w:rsid w:val="00580F6D"/>
    <w:rsid w:val="00582525"/>
    <w:rsid w:val="00582548"/>
    <w:rsid w:val="005829F1"/>
    <w:rsid w:val="00582E4D"/>
    <w:rsid w:val="00583028"/>
    <w:rsid w:val="005843C0"/>
    <w:rsid w:val="005850E9"/>
    <w:rsid w:val="00585499"/>
    <w:rsid w:val="0058586A"/>
    <w:rsid w:val="00585900"/>
    <w:rsid w:val="0058640E"/>
    <w:rsid w:val="00587694"/>
    <w:rsid w:val="00587FCC"/>
    <w:rsid w:val="00590D9B"/>
    <w:rsid w:val="00591992"/>
    <w:rsid w:val="00592561"/>
    <w:rsid w:val="00592571"/>
    <w:rsid w:val="00592677"/>
    <w:rsid w:val="00592757"/>
    <w:rsid w:val="00592CA9"/>
    <w:rsid w:val="0059340F"/>
    <w:rsid w:val="005937A4"/>
    <w:rsid w:val="00594ECF"/>
    <w:rsid w:val="00594F47"/>
    <w:rsid w:val="00595621"/>
    <w:rsid w:val="00595904"/>
    <w:rsid w:val="00596152"/>
    <w:rsid w:val="005965BA"/>
    <w:rsid w:val="0059676D"/>
    <w:rsid w:val="005A0064"/>
    <w:rsid w:val="005A0195"/>
    <w:rsid w:val="005A04E8"/>
    <w:rsid w:val="005A0910"/>
    <w:rsid w:val="005A0AB2"/>
    <w:rsid w:val="005A1025"/>
    <w:rsid w:val="005A1899"/>
    <w:rsid w:val="005A1C6E"/>
    <w:rsid w:val="005A1F76"/>
    <w:rsid w:val="005A25E0"/>
    <w:rsid w:val="005A2C43"/>
    <w:rsid w:val="005A318F"/>
    <w:rsid w:val="005A31DF"/>
    <w:rsid w:val="005A54DC"/>
    <w:rsid w:val="005A6CB0"/>
    <w:rsid w:val="005A7206"/>
    <w:rsid w:val="005A75F6"/>
    <w:rsid w:val="005B0ECE"/>
    <w:rsid w:val="005B10BF"/>
    <w:rsid w:val="005B1533"/>
    <w:rsid w:val="005B172E"/>
    <w:rsid w:val="005B33F8"/>
    <w:rsid w:val="005B3FE8"/>
    <w:rsid w:val="005B42C1"/>
    <w:rsid w:val="005B4586"/>
    <w:rsid w:val="005B5B6A"/>
    <w:rsid w:val="005B612F"/>
    <w:rsid w:val="005B6578"/>
    <w:rsid w:val="005B6638"/>
    <w:rsid w:val="005B683B"/>
    <w:rsid w:val="005B68B8"/>
    <w:rsid w:val="005B68C7"/>
    <w:rsid w:val="005B6978"/>
    <w:rsid w:val="005B6CDD"/>
    <w:rsid w:val="005B6EB5"/>
    <w:rsid w:val="005C048D"/>
    <w:rsid w:val="005C0B41"/>
    <w:rsid w:val="005C166D"/>
    <w:rsid w:val="005C195D"/>
    <w:rsid w:val="005C1B71"/>
    <w:rsid w:val="005C31E1"/>
    <w:rsid w:val="005C32D5"/>
    <w:rsid w:val="005C3A17"/>
    <w:rsid w:val="005C3F6F"/>
    <w:rsid w:val="005C51CA"/>
    <w:rsid w:val="005C55F4"/>
    <w:rsid w:val="005C6D18"/>
    <w:rsid w:val="005C6DC6"/>
    <w:rsid w:val="005D0679"/>
    <w:rsid w:val="005D088E"/>
    <w:rsid w:val="005D0D6C"/>
    <w:rsid w:val="005D0FB7"/>
    <w:rsid w:val="005D1355"/>
    <w:rsid w:val="005D2368"/>
    <w:rsid w:val="005D31B6"/>
    <w:rsid w:val="005D34B1"/>
    <w:rsid w:val="005D351A"/>
    <w:rsid w:val="005D3FD8"/>
    <w:rsid w:val="005D42DA"/>
    <w:rsid w:val="005D48D1"/>
    <w:rsid w:val="005D4B78"/>
    <w:rsid w:val="005D5951"/>
    <w:rsid w:val="005E0655"/>
    <w:rsid w:val="005E0EC1"/>
    <w:rsid w:val="005E140A"/>
    <w:rsid w:val="005E1BD4"/>
    <w:rsid w:val="005E2182"/>
    <w:rsid w:val="005E2843"/>
    <w:rsid w:val="005E2AEC"/>
    <w:rsid w:val="005E3172"/>
    <w:rsid w:val="005E4233"/>
    <w:rsid w:val="005E4280"/>
    <w:rsid w:val="005E45D8"/>
    <w:rsid w:val="005E4C1C"/>
    <w:rsid w:val="005E4D53"/>
    <w:rsid w:val="005E5CC4"/>
    <w:rsid w:val="005E6827"/>
    <w:rsid w:val="005E6C2D"/>
    <w:rsid w:val="005E6D7C"/>
    <w:rsid w:val="005E749D"/>
    <w:rsid w:val="005E78E0"/>
    <w:rsid w:val="005F0B76"/>
    <w:rsid w:val="005F0C9E"/>
    <w:rsid w:val="005F226D"/>
    <w:rsid w:val="005F2C91"/>
    <w:rsid w:val="005F2FB8"/>
    <w:rsid w:val="005F4600"/>
    <w:rsid w:val="005F4842"/>
    <w:rsid w:val="005F5E4D"/>
    <w:rsid w:val="005F650A"/>
    <w:rsid w:val="005F6CCB"/>
    <w:rsid w:val="005F76F7"/>
    <w:rsid w:val="00600991"/>
    <w:rsid w:val="00600A61"/>
    <w:rsid w:val="00600D62"/>
    <w:rsid w:val="00600D70"/>
    <w:rsid w:val="00600F95"/>
    <w:rsid w:val="006020B4"/>
    <w:rsid w:val="006022A8"/>
    <w:rsid w:val="00602544"/>
    <w:rsid w:val="0060352E"/>
    <w:rsid w:val="00603753"/>
    <w:rsid w:val="00603F82"/>
    <w:rsid w:val="00604C93"/>
    <w:rsid w:val="006064C5"/>
    <w:rsid w:val="00606A35"/>
    <w:rsid w:val="00606CBF"/>
    <w:rsid w:val="00606DE7"/>
    <w:rsid w:val="00606F04"/>
    <w:rsid w:val="00606F05"/>
    <w:rsid w:val="00606F5E"/>
    <w:rsid w:val="0060723A"/>
    <w:rsid w:val="00607B47"/>
    <w:rsid w:val="00610906"/>
    <w:rsid w:val="006119BD"/>
    <w:rsid w:val="0061275E"/>
    <w:rsid w:val="00614AB4"/>
    <w:rsid w:val="006153DB"/>
    <w:rsid w:val="00615BBE"/>
    <w:rsid w:val="00616B50"/>
    <w:rsid w:val="00617174"/>
    <w:rsid w:val="00617352"/>
    <w:rsid w:val="0061744D"/>
    <w:rsid w:val="00617BFA"/>
    <w:rsid w:val="006204CD"/>
    <w:rsid w:val="006205AA"/>
    <w:rsid w:val="006207CD"/>
    <w:rsid w:val="00620A44"/>
    <w:rsid w:val="00620A92"/>
    <w:rsid w:val="00620AB6"/>
    <w:rsid w:val="0062131F"/>
    <w:rsid w:val="00621455"/>
    <w:rsid w:val="00622261"/>
    <w:rsid w:val="006222FF"/>
    <w:rsid w:val="0062240D"/>
    <w:rsid w:val="00622D23"/>
    <w:rsid w:val="0062314C"/>
    <w:rsid w:val="00623625"/>
    <w:rsid w:val="006238E6"/>
    <w:rsid w:val="00623A18"/>
    <w:rsid w:val="00624428"/>
    <w:rsid w:val="00624627"/>
    <w:rsid w:val="0062474E"/>
    <w:rsid w:val="0062565D"/>
    <w:rsid w:val="00625AC5"/>
    <w:rsid w:val="006261EE"/>
    <w:rsid w:val="00626AB2"/>
    <w:rsid w:val="00626C3C"/>
    <w:rsid w:val="006274CB"/>
    <w:rsid w:val="0063056F"/>
    <w:rsid w:val="0063109B"/>
    <w:rsid w:val="00632121"/>
    <w:rsid w:val="00633C90"/>
    <w:rsid w:val="00634FD1"/>
    <w:rsid w:val="00635C62"/>
    <w:rsid w:val="00636023"/>
    <w:rsid w:val="006401FF"/>
    <w:rsid w:val="00640B52"/>
    <w:rsid w:val="006413EC"/>
    <w:rsid w:val="006418EE"/>
    <w:rsid w:val="00641AA6"/>
    <w:rsid w:val="00641EA1"/>
    <w:rsid w:val="00641F0D"/>
    <w:rsid w:val="006422A2"/>
    <w:rsid w:val="00642997"/>
    <w:rsid w:val="00642EF2"/>
    <w:rsid w:val="00643782"/>
    <w:rsid w:val="006440EE"/>
    <w:rsid w:val="006449FA"/>
    <w:rsid w:val="00644DF5"/>
    <w:rsid w:val="00644EDF"/>
    <w:rsid w:val="0064526E"/>
    <w:rsid w:val="00645B21"/>
    <w:rsid w:val="006463C2"/>
    <w:rsid w:val="00646EE8"/>
    <w:rsid w:val="0064712C"/>
    <w:rsid w:val="006516B8"/>
    <w:rsid w:val="00651CA6"/>
    <w:rsid w:val="00651E76"/>
    <w:rsid w:val="0065220C"/>
    <w:rsid w:val="0065323C"/>
    <w:rsid w:val="00653293"/>
    <w:rsid w:val="00654BF9"/>
    <w:rsid w:val="00654E9C"/>
    <w:rsid w:val="00654FD4"/>
    <w:rsid w:val="006551D8"/>
    <w:rsid w:val="00655236"/>
    <w:rsid w:val="00656AA5"/>
    <w:rsid w:val="0065767A"/>
    <w:rsid w:val="00657886"/>
    <w:rsid w:val="006602CE"/>
    <w:rsid w:val="006604F7"/>
    <w:rsid w:val="00660688"/>
    <w:rsid w:val="00660B80"/>
    <w:rsid w:val="00660F44"/>
    <w:rsid w:val="00661437"/>
    <w:rsid w:val="006615BD"/>
    <w:rsid w:val="00661D8F"/>
    <w:rsid w:val="00663177"/>
    <w:rsid w:val="006633F3"/>
    <w:rsid w:val="0066383F"/>
    <w:rsid w:val="006641C7"/>
    <w:rsid w:val="00664902"/>
    <w:rsid w:val="00666B4B"/>
    <w:rsid w:val="00666CAE"/>
    <w:rsid w:val="00666D68"/>
    <w:rsid w:val="00666D7D"/>
    <w:rsid w:val="00667A89"/>
    <w:rsid w:val="0067073E"/>
    <w:rsid w:val="006713ED"/>
    <w:rsid w:val="006723E4"/>
    <w:rsid w:val="00672E8E"/>
    <w:rsid w:val="00673C94"/>
    <w:rsid w:val="00673CE6"/>
    <w:rsid w:val="00673DB4"/>
    <w:rsid w:val="0067419F"/>
    <w:rsid w:val="00674266"/>
    <w:rsid w:val="006742D0"/>
    <w:rsid w:val="006743DF"/>
    <w:rsid w:val="006748EB"/>
    <w:rsid w:val="00674E16"/>
    <w:rsid w:val="00674F5A"/>
    <w:rsid w:val="00677245"/>
    <w:rsid w:val="006773C8"/>
    <w:rsid w:val="00677498"/>
    <w:rsid w:val="00677EFE"/>
    <w:rsid w:val="0068088D"/>
    <w:rsid w:val="00680B9B"/>
    <w:rsid w:val="00680E14"/>
    <w:rsid w:val="00680F1D"/>
    <w:rsid w:val="00680F49"/>
    <w:rsid w:val="006810B3"/>
    <w:rsid w:val="0068182A"/>
    <w:rsid w:val="00681F42"/>
    <w:rsid w:val="00682075"/>
    <w:rsid w:val="006823AD"/>
    <w:rsid w:val="0068255E"/>
    <w:rsid w:val="006827D2"/>
    <w:rsid w:val="006828C4"/>
    <w:rsid w:val="00682DD6"/>
    <w:rsid w:val="006831B3"/>
    <w:rsid w:val="006835C7"/>
    <w:rsid w:val="00685010"/>
    <w:rsid w:val="00685C50"/>
    <w:rsid w:val="00685F58"/>
    <w:rsid w:val="006864B6"/>
    <w:rsid w:val="00686767"/>
    <w:rsid w:val="00686C43"/>
    <w:rsid w:val="00686F05"/>
    <w:rsid w:val="00687026"/>
    <w:rsid w:val="0069075E"/>
    <w:rsid w:val="00690B3D"/>
    <w:rsid w:val="00690CAA"/>
    <w:rsid w:val="0069152E"/>
    <w:rsid w:val="00691D0C"/>
    <w:rsid w:val="00691E97"/>
    <w:rsid w:val="006929A7"/>
    <w:rsid w:val="00692B61"/>
    <w:rsid w:val="00695268"/>
    <w:rsid w:val="006958C6"/>
    <w:rsid w:val="00695D20"/>
    <w:rsid w:val="0069692E"/>
    <w:rsid w:val="006979B6"/>
    <w:rsid w:val="00697DE5"/>
    <w:rsid w:val="006A03E7"/>
    <w:rsid w:val="006A09DF"/>
    <w:rsid w:val="006A0B3A"/>
    <w:rsid w:val="006A263F"/>
    <w:rsid w:val="006A26F0"/>
    <w:rsid w:val="006A2752"/>
    <w:rsid w:val="006A2BE4"/>
    <w:rsid w:val="006A35D2"/>
    <w:rsid w:val="006A3619"/>
    <w:rsid w:val="006A3804"/>
    <w:rsid w:val="006A4C9E"/>
    <w:rsid w:val="006A50EB"/>
    <w:rsid w:val="006A5395"/>
    <w:rsid w:val="006A57CA"/>
    <w:rsid w:val="006A5BED"/>
    <w:rsid w:val="006A6B87"/>
    <w:rsid w:val="006B03E7"/>
    <w:rsid w:val="006B130C"/>
    <w:rsid w:val="006B15CF"/>
    <w:rsid w:val="006B1FDC"/>
    <w:rsid w:val="006B27E3"/>
    <w:rsid w:val="006B2970"/>
    <w:rsid w:val="006B2F43"/>
    <w:rsid w:val="006B392D"/>
    <w:rsid w:val="006B3A65"/>
    <w:rsid w:val="006B3D09"/>
    <w:rsid w:val="006B3FE9"/>
    <w:rsid w:val="006B503E"/>
    <w:rsid w:val="006B5115"/>
    <w:rsid w:val="006B5184"/>
    <w:rsid w:val="006B5FA3"/>
    <w:rsid w:val="006B6693"/>
    <w:rsid w:val="006B69DF"/>
    <w:rsid w:val="006B6AF9"/>
    <w:rsid w:val="006C0A01"/>
    <w:rsid w:val="006C0B95"/>
    <w:rsid w:val="006C20BB"/>
    <w:rsid w:val="006C29FE"/>
    <w:rsid w:val="006C2F3E"/>
    <w:rsid w:val="006C3E13"/>
    <w:rsid w:val="006C42E1"/>
    <w:rsid w:val="006C4D5C"/>
    <w:rsid w:val="006C54B4"/>
    <w:rsid w:val="006C7499"/>
    <w:rsid w:val="006D05AB"/>
    <w:rsid w:val="006D0DD8"/>
    <w:rsid w:val="006D145D"/>
    <w:rsid w:val="006D180B"/>
    <w:rsid w:val="006D1A12"/>
    <w:rsid w:val="006D1BAD"/>
    <w:rsid w:val="006D20E0"/>
    <w:rsid w:val="006D2333"/>
    <w:rsid w:val="006D2734"/>
    <w:rsid w:val="006D4222"/>
    <w:rsid w:val="006D506A"/>
    <w:rsid w:val="006D5281"/>
    <w:rsid w:val="006D5624"/>
    <w:rsid w:val="006D5984"/>
    <w:rsid w:val="006D5C7D"/>
    <w:rsid w:val="006D60BE"/>
    <w:rsid w:val="006D60C5"/>
    <w:rsid w:val="006D6475"/>
    <w:rsid w:val="006D6968"/>
    <w:rsid w:val="006D71C6"/>
    <w:rsid w:val="006D7964"/>
    <w:rsid w:val="006E0376"/>
    <w:rsid w:val="006E0F2E"/>
    <w:rsid w:val="006E1127"/>
    <w:rsid w:val="006E1CD1"/>
    <w:rsid w:val="006E2314"/>
    <w:rsid w:val="006E2985"/>
    <w:rsid w:val="006E2CDF"/>
    <w:rsid w:val="006E3506"/>
    <w:rsid w:val="006E3600"/>
    <w:rsid w:val="006E3736"/>
    <w:rsid w:val="006E3802"/>
    <w:rsid w:val="006E3A34"/>
    <w:rsid w:val="006E3ADC"/>
    <w:rsid w:val="006E3BAC"/>
    <w:rsid w:val="006E4378"/>
    <w:rsid w:val="006E487E"/>
    <w:rsid w:val="006E4B34"/>
    <w:rsid w:val="006E4B7D"/>
    <w:rsid w:val="006E4C6E"/>
    <w:rsid w:val="006E6977"/>
    <w:rsid w:val="006F0181"/>
    <w:rsid w:val="006F06DC"/>
    <w:rsid w:val="006F0A61"/>
    <w:rsid w:val="006F107F"/>
    <w:rsid w:val="006F11CB"/>
    <w:rsid w:val="006F179B"/>
    <w:rsid w:val="006F180F"/>
    <w:rsid w:val="006F223B"/>
    <w:rsid w:val="006F307E"/>
    <w:rsid w:val="006F3144"/>
    <w:rsid w:val="006F3A6C"/>
    <w:rsid w:val="006F45B4"/>
    <w:rsid w:val="006F4E45"/>
    <w:rsid w:val="006F5074"/>
    <w:rsid w:val="006F5B2E"/>
    <w:rsid w:val="006F69DA"/>
    <w:rsid w:val="006F6A28"/>
    <w:rsid w:val="006F7E52"/>
    <w:rsid w:val="0070011F"/>
    <w:rsid w:val="00700B23"/>
    <w:rsid w:val="007020BB"/>
    <w:rsid w:val="0070296A"/>
    <w:rsid w:val="00702E00"/>
    <w:rsid w:val="00703626"/>
    <w:rsid w:val="0070381A"/>
    <w:rsid w:val="0070436B"/>
    <w:rsid w:val="007049A0"/>
    <w:rsid w:val="00704FDC"/>
    <w:rsid w:val="007051CE"/>
    <w:rsid w:val="00705830"/>
    <w:rsid w:val="007076C2"/>
    <w:rsid w:val="00707720"/>
    <w:rsid w:val="00710A40"/>
    <w:rsid w:val="00710FD4"/>
    <w:rsid w:val="00711DF1"/>
    <w:rsid w:val="0071287A"/>
    <w:rsid w:val="00712F31"/>
    <w:rsid w:val="00712F48"/>
    <w:rsid w:val="00713374"/>
    <w:rsid w:val="0071377B"/>
    <w:rsid w:val="00715475"/>
    <w:rsid w:val="00715841"/>
    <w:rsid w:val="00715CE6"/>
    <w:rsid w:val="0071614E"/>
    <w:rsid w:val="0071627C"/>
    <w:rsid w:val="00716D53"/>
    <w:rsid w:val="007170C2"/>
    <w:rsid w:val="0071719A"/>
    <w:rsid w:val="00717895"/>
    <w:rsid w:val="00717ACB"/>
    <w:rsid w:val="00720261"/>
    <w:rsid w:val="0072107D"/>
    <w:rsid w:val="00721759"/>
    <w:rsid w:val="007218F4"/>
    <w:rsid w:val="007222E5"/>
    <w:rsid w:val="00722541"/>
    <w:rsid w:val="00722F82"/>
    <w:rsid w:val="0072303E"/>
    <w:rsid w:val="007237D0"/>
    <w:rsid w:val="0072423F"/>
    <w:rsid w:val="00724726"/>
    <w:rsid w:val="00724B1C"/>
    <w:rsid w:val="007250D3"/>
    <w:rsid w:val="007257E3"/>
    <w:rsid w:val="00725DF2"/>
    <w:rsid w:val="00725FEF"/>
    <w:rsid w:val="007261BA"/>
    <w:rsid w:val="007269D5"/>
    <w:rsid w:val="00726F65"/>
    <w:rsid w:val="00727058"/>
    <w:rsid w:val="00727248"/>
    <w:rsid w:val="007272CF"/>
    <w:rsid w:val="007319E0"/>
    <w:rsid w:val="00731DA8"/>
    <w:rsid w:val="007324E0"/>
    <w:rsid w:val="00732628"/>
    <w:rsid w:val="00732F7C"/>
    <w:rsid w:val="00733389"/>
    <w:rsid w:val="007336AA"/>
    <w:rsid w:val="00734762"/>
    <w:rsid w:val="00735CFC"/>
    <w:rsid w:val="00735EDD"/>
    <w:rsid w:val="007360BC"/>
    <w:rsid w:val="0073675B"/>
    <w:rsid w:val="0073680E"/>
    <w:rsid w:val="00736DED"/>
    <w:rsid w:val="00736E34"/>
    <w:rsid w:val="00737D7B"/>
    <w:rsid w:val="00737FF4"/>
    <w:rsid w:val="00740719"/>
    <w:rsid w:val="0074091E"/>
    <w:rsid w:val="00740C4D"/>
    <w:rsid w:val="00740EF1"/>
    <w:rsid w:val="00741644"/>
    <w:rsid w:val="007417B5"/>
    <w:rsid w:val="00741E9E"/>
    <w:rsid w:val="00742274"/>
    <w:rsid w:val="00742402"/>
    <w:rsid w:val="007429CC"/>
    <w:rsid w:val="00742A1B"/>
    <w:rsid w:val="0074395C"/>
    <w:rsid w:val="00743AC8"/>
    <w:rsid w:val="00743B65"/>
    <w:rsid w:val="00743B88"/>
    <w:rsid w:val="00745CA2"/>
    <w:rsid w:val="0074624E"/>
    <w:rsid w:val="0074788D"/>
    <w:rsid w:val="00747AF4"/>
    <w:rsid w:val="00747F1D"/>
    <w:rsid w:val="00750977"/>
    <w:rsid w:val="00750C17"/>
    <w:rsid w:val="00751342"/>
    <w:rsid w:val="0075148C"/>
    <w:rsid w:val="0075171C"/>
    <w:rsid w:val="00751909"/>
    <w:rsid w:val="00751945"/>
    <w:rsid w:val="00752348"/>
    <w:rsid w:val="0075247D"/>
    <w:rsid w:val="00752B6B"/>
    <w:rsid w:val="00752FEB"/>
    <w:rsid w:val="0075335F"/>
    <w:rsid w:val="007535FD"/>
    <w:rsid w:val="00753C7E"/>
    <w:rsid w:val="0075421C"/>
    <w:rsid w:val="007544EB"/>
    <w:rsid w:val="0075451D"/>
    <w:rsid w:val="00754C38"/>
    <w:rsid w:val="00754EF4"/>
    <w:rsid w:val="00755C74"/>
    <w:rsid w:val="007564C5"/>
    <w:rsid w:val="00756F52"/>
    <w:rsid w:val="0075728B"/>
    <w:rsid w:val="00757681"/>
    <w:rsid w:val="00760136"/>
    <w:rsid w:val="00761668"/>
    <w:rsid w:val="0076184C"/>
    <w:rsid w:val="00761DF4"/>
    <w:rsid w:val="00762257"/>
    <w:rsid w:val="00762492"/>
    <w:rsid w:val="007624EC"/>
    <w:rsid w:val="00762694"/>
    <w:rsid w:val="007630A8"/>
    <w:rsid w:val="00763DD3"/>
    <w:rsid w:val="0076444D"/>
    <w:rsid w:val="00764509"/>
    <w:rsid w:val="007646F6"/>
    <w:rsid w:val="007648C2"/>
    <w:rsid w:val="007649E9"/>
    <w:rsid w:val="00764A0D"/>
    <w:rsid w:val="00764B74"/>
    <w:rsid w:val="007650FF"/>
    <w:rsid w:val="00765DDC"/>
    <w:rsid w:val="00766D23"/>
    <w:rsid w:val="007671F5"/>
    <w:rsid w:val="0077026D"/>
    <w:rsid w:val="00770804"/>
    <w:rsid w:val="007713F6"/>
    <w:rsid w:val="00771C46"/>
    <w:rsid w:val="00772551"/>
    <w:rsid w:val="00773625"/>
    <w:rsid w:val="0077364C"/>
    <w:rsid w:val="00774504"/>
    <w:rsid w:val="007748BB"/>
    <w:rsid w:val="00774CEF"/>
    <w:rsid w:val="00775B8A"/>
    <w:rsid w:val="00775E6E"/>
    <w:rsid w:val="00776347"/>
    <w:rsid w:val="00776425"/>
    <w:rsid w:val="007776D4"/>
    <w:rsid w:val="00777793"/>
    <w:rsid w:val="0078088B"/>
    <w:rsid w:val="00782533"/>
    <w:rsid w:val="007830F7"/>
    <w:rsid w:val="00783338"/>
    <w:rsid w:val="00783997"/>
    <w:rsid w:val="00783C8D"/>
    <w:rsid w:val="007843B3"/>
    <w:rsid w:val="00785743"/>
    <w:rsid w:val="0078649D"/>
    <w:rsid w:val="00786E0B"/>
    <w:rsid w:val="00786E0D"/>
    <w:rsid w:val="00787807"/>
    <w:rsid w:val="00787E1B"/>
    <w:rsid w:val="00790DFF"/>
    <w:rsid w:val="0079192B"/>
    <w:rsid w:val="00792066"/>
    <w:rsid w:val="00793603"/>
    <w:rsid w:val="00793A59"/>
    <w:rsid w:val="00793AA7"/>
    <w:rsid w:val="00793B55"/>
    <w:rsid w:val="00794013"/>
    <w:rsid w:val="007940EF"/>
    <w:rsid w:val="00794943"/>
    <w:rsid w:val="007949B0"/>
    <w:rsid w:val="00795102"/>
    <w:rsid w:val="00795249"/>
    <w:rsid w:val="00795DEE"/>
    <w:rsid w:val="00796871"/>
    <w:rsid w:val="00796A5E"/>
    <w:rsid w:val="00797468"/>
    <w:rsid w:val="00797671"/>
    <w:rsid w:val="00797CA0"/>
    <w:rsid w:val="007A0064"/>
    <w:rsid w:val="007A01EE"/>
    <w:rsid w:val="007A07D3"/>
    <w:rsid w:val="007A0EBA"/>
    <w:rsid w:val="007A17CD"/>
    <w:rsid w:val="007A19EE"/>
    <w:rsid w:val="007A200F"/>
    <w:rsid w:val="007A20A8"/>
    <w:rsid w:val="007A3A0E"/>
    <w:rsid w:val="007A511A"/>
    <w:rsid w:val="007A571E"/>
    <w:rsid w:val="007A6BC9"/>
    <w:rsid w:val="007A770E"/>
    <w:rsid w:val="007A771B"/>
    <w:rsid w:val="007A7DA5"/>
    <w:rsid w:val="007A7E48"/>
    <w:rsid w:val="007B0FBA"/>
    <w:rsid w:val="007B1E8A"/>
    <w:rsid w:val="007B21C7"/>
    <w:rsid w:val="007B35AF"/>
    <w:rsid w:val="007B3F69"/>
    <w:rsid w:val="007B436F"/>
    <w:rsid w:val="007B4FE9"/>
    <w:rsid w:val="007B536B"/>
    <w:rsid w:val="007B5A62"/>
    <w:rsid w:val="007B5CB2"/>
    <w:rsid w:val="007B6ACF"/>
    <w:rsid w:val="007B7C07"/>
    <w:rsid w:val="007B7CDB"/>
    <w:rsid w:val="007C01AC"/>
    <w:rsid w:val="007C2B85"/>
    <w:rsid w:val="007C3B4D"/>
    <w:rsid w:val="007C4091"/>
    <w:rsid w:val="007C4BDA"/>
    <w:rsid w:val="007C7534"/>
    <w:rsid w:val="007D0874"/>
    <w:rsid w:val="007D1583"/>
    <w:rsid w:val="007D1ABF"/>
    <w:rsid w:val="007D1E4D"/>
    <w:rsid w:val="007D21FF"/>
    <w:rsid w:val="007D2BA3"/>
    <w:rsid w:val="007D2F90"/>
    <w:rsid w:val="007D331E"/>
    <w:rsid w:val="007D43AB"/>
    <w:rsid w:val="007D70E4"/>
    <w:rsid w:val="007D7268"/>
    <w:rsid w:val="007E06FA"/>
    <w:rsid w:val="007E0E36"/>
    <w:rsid w:val="007E1133"/>
    <w:rsid w:val="007E2DE4"/>
    <w:rsid w:val="007E336C"/>
    <w:rsid w:val="007E365B"/>
    <w:rsid w:val="007E3748"/>
    <w:rsid w:val="007E37F9"/>
    <w:rsid w:val="007E56CA"/>
    <w:rsid w:val="007E58F5"/>
    <w:rsid w:val="007E67ED"/>
    <w:rsid w:val="007E6848"/>
    <w:rsid w:val="007E6CE9"/>
    <w:rsid w:val="007E77F0"/>
    <w:rsid w:val="007E7EBD"/>
    <w:rsid w:val="007F02A2"/>
    <w:rsid w:val="007F06FB"/>
    <w:rsid w:val="007F08BF"/>
    <w:rsid w:val="007F277F"/>
    <w:rsid w:val="007F3CD6"/>
    <w:rsid w:val="007F3EC1"/>
    <w:rsid w:val="007F495B"/>
    <w:rsid w:val="007F4D33"/>
    <w:rsid w:val="007F6A92"/>
    <w:rsid w:val="007F70F0"/>
    <w:rsid w:val="00800B13"/>
    <w:rsid w:val="00802B49"/>
    <w:rsid w:val="008042FE"/>
    <w:rsid w:val="008044B9"/>
    <w:rsid w:val="0080466F"/>
    <w:rsid w:val="00804B52"/>
    <w:rsid w:val="0080520E"/>
    <w:rsid w:val="00805CD2"/>
    <w:rsid w:val="0080660D"/>
    <w:rsid w:val="00806684"/>
    <w:rsid w:val="00806729"/>
    <w:rsid w:val="008072E5"/>
    <w:rsid w:val="008074BC"/>
    <w:rsid w:val="0080761E"/>
    <w:rsid w:val="00807BF8"/>
    <w:rsid w:val="00811F98"/>
    <w:rsid w:val="008126AE"/>
    <w:rsid w:val="0081293B"/>
    <w:rsid w:val="0081359A"/>
    <w:rsid w:val="008137C8"/>
    <w:rsid w:val="00813D81"/>
    <w:rsid w:val="00814275"/>
    <w:rsid w:val="008146B5"/>
    <w:rsid w:val="00814EC1"/>
    <w:rsid w:val="0081555E"/>
    <w:rsid w:val="00815997"/>
    <w:rsid w:val="00815A32"/>
    <w:rsid w:val="00816F1A"/>
    <w:rsid w:val="0082020B"/>
    <w:rsid w:val="00821BF7"/>
    <w:rsid w:val="00822215"/>
    <w:rsid w:val="00822C66"/>
    <w:rsid w:val="00823123"/>
    <w:rsid w:val="00823D4D"/>
    <w:rsid w:val="00823DD1"/>
    <w:rsid w:val="00824312"/>
    <w:rsid w:val="008245D2"/>
    <w:rsid w:val="008247A2"/>
    <w:rsid w:val="00825A4F"/>
    <w:rsid w:val="00825B1E"/>
    <w:rsid w:val="008260DA"/>
    <w:rsid w:val="00826E27"/>
    <w:rsid w:val="00826F6C"/>
    <w:rsid w:val="00827599"/>
    <w:rsid w:val="00827CA6"/>
    <w:rsid w:val="00827F28"/>
    <w:rsid w:val="008301CF"/>
    <w:rsid w:val="0083066D"/>
    <w:rsid w:val="00830A3D"/>
    <w:rsid w:val="00830E5E"/>
    <w:rsid w:val="00830FCC"/>
    <w:rsid w:val="008312A3"/>
    <w:rsid w:val="0083192D"/>
    <w:rsid w:val="00831B8F"/>
    <w:rsid w:val="00832716"/>
    <w:rsid w:val="008327A9"/>
    <w:rsid w:val="00832CA4"/>
    <w:rsid w:val="00832E14"/>
    <w:rsid w:val="00832E41"/>
    <w:rsid w:val="0083354B"/>
    <w:rsid w:val="008340ED"/>
    <w:rsid w:val="00834570"/>
    <w:rsid w:val="008346B7"/>
    <w:rsid w:val="00835F60"/>
    <w:rsid w:val="00836794"/>
    <w:rsid w:val="00836F55"/>
    <w:rsid w:val="0083725E"/>
    <w:rsid w:val="00840C27"/>
    <w:rsid w:val="0084521D"/>
    <w:rsid w:val="00845FBA"/>
    <w:rsid w:val="008460A6"/>
    <w:rsid w:val="0084668B"/>
    <w:rsid w:val="0084716B"/>
    <w:rsid w:val="00847467"/>
    <w:rsid w:val="008478E1"/>
    <w:rsid w:val="00847D8B"/>
    <w:rsid w:val="00851D84"/>
    <w:rsid w:val="0085293C"/>
    <w:rsid w:val="00852D78"/>
    <w:rsid w:val="00853D76"/>
    <w:rsid w:val="00855037"/>
    <w:rsid w:val="00855660"/>
    <w:rsid w:val="00855B5D"/>
    <w:rsid w:val="00855B93"/>
    <w:rsid w:val="0085669E"/>
    <w:rsid w:val="008575E5"/>
    <w:rsid w:val="00857BE1"/>
    <w:rsid w:val="00857E2E"/>
    <w:rsid w:val="00860303"/>
    <w:rsid w:val="00860CDD"/>
    <w:rsid w:val="00861C15"/>
    <w:rsid w:val="0086215E"/>
    <w:rsid w:val="00862B35"/>
    <w:rsid w:val="00862FC2"/>
    <w:rsid w:val="008631A2"/>
    <w:rsid w:val="00863A22"/>
    <w:rsid w:val="00864259"/>
    <w:rsid w:val="00864B27"/>
    <w:rsid w:val="00865F0F"/>
    <w:rsid w:val="00865F23"/>
    <w:rsid w:val="00867C4E"/>
    <w:rsid w:val="00867EBA"/>
    <w:rsid w:val="008702A8"/>
    <w:rsid w:val="008707A5"/>
    <w:rsid w:val="00870F3C"/>
    <w:rsid w:val="00871DBB"/>
    <w:rsid w:val="0087298F"/>
    <w:rsid w:val="008732C4"/>
    <w:rsid w:val="00873FFB"/>
    <w:rsid w:val="008748A1"/>
    <w:rsid w:val="00875416"/>
    <w:rsid w:val="008761DC"/>
    <w:rsid w:val="0087794D"/>
    <w:rsid w:val="0088030A"/>
    <w:rsid w:val="00880589"/>
    <w:rsid w:val="00881EB2"/>
    <w:rsid w:val="0088251A"/>
    <w:rsid w:val="00882DB2"/>
    <w:rsid w:val="0088310F"/>
    <w:rsid w:val="008831B3"/>
    <w:rsid w:val="00883B09"/>
    <w:rsid w:val="00885DFF"/>
    <w:rsid w:val="00885F69"/>
    <w:rsid w:val="00886016"/>
    <w:rsid w:val="0088664C"/>
    <w:rsid w:val="0088676A"/>
    <w:rsid w:val="00887E7C"/>
    <w:rsid w:val="0089074C"/>
    <w:rsid w:val="00891109"/>
    <w:rsid w:val="00891DA2"/>
    <w:rsid w:val="00892AA1"/>
    <w:rsid w:val="00892AB7"/>
    <w:rsid w:val="00893398"/>
    <w:rsid w:val="00894961"/>
    <w:rsid w:val="00894F54"/>
    <w:rsid w:val="00895942"/>
    <w:rsid w:val="008959B1"/>
    <w:rsid w:val="00897615"/>
    <w:rsid w:val="008A19EB"/>
    <w:rsid w:val="008A1ACD"/>
    <w:rsid w:val="008A28A9"/>
    <w:rsid w:val="008A2C86"/>
    <w:rsid w:val="008A2DA6"/>
    <w:rsid w:val="008A30D0"/>
    <w:rsid w:val="008A398C"/>
    <w:rsid w:val="008A3BFF"/>
    <w:rsid w:val="008A454C"/>
    <w:rsid w:val="008A4837"/>
    <w:rsid w:val="008A498E"/>
    <w:rsid w:val="008A4E55"/>
    <w:rsid w:val="008A5C2A"/>
    <w:rsid w:val="008A5E13"/>
    <w:rsid w:val="008A6665"/>
    <w:rsid w:val="008A6B9C"/>
    <w:rsid w:val="008A6D22"/>
    <w:rsid w:val="008A7DE6"/>
    <w:rsid w:val="008B04D6"/>
    <w:rsid w:val="008B053A"/>
    <w:rsid w:val="008B0CF4"/>
    <w:rsid w:val="008B0E88"/>
    <w:rsid w:val="008B179C"/>
    <w:rsid w:val="008B403E"/>
    <w:rsid w:val="008B42E8"/>
    <w:rsid w:val="008B48B9"/>
    <w:rsid w:val="008B4931"/>
    <w:rsid w:val="008B4E3A"/>
    <w:rsid w:val="008B5DEB"/>
    <w:rsid w:val="008B6475"/>
    <w:rsid w:val="008B6AE2"/>
    <w:rsid w:val="008B6BCA"/>
    <w:rsid w:val="008B714D"/>
    <w:rsid w:val="008B7921"/>
    <w:rsid w:val="008B7BEA"/>
    <w:rsid w:val="008C0402"/>
    <w:rsid w:val="008C08BF"/>
    <w:rsid w:val="008C130D"/>
    <w:rsid w:val="008C39E8"/>
    <w:rsid w:val="008C3A29"/>
    <w:rsid w:val="008C3E19"/>
    <w:rsid w:val="008C48E9"/>
    <w:rsid w:val="008C4BA7"/>
    <w:rsid w:val="008C5117"/>
    <w:rsid w:val="008C65F2"/>
    <w:rsid w:val="008C693A"/>
    <w:rsid w:val="008C6CCF"/>
    <w:rsid w:val="008C6F2C"/>
    <w:rsid w:val="008C71CB"/>
    <w:rsid w:val="008C7361"/>
    <w:rsid w:val="008D00A1"/>
    <w:rsid w:val="008D086C"/>
    <w:rsid w:val="008D0C12"/>
    <w:rsid w:val="008D0CA3"/>
    <w:rsid w:val="008D16E1"/>
    <w:rsid w:val="008D2533"/>
    <w:rsid w:val="008D261E"/>
    <w:rsid w:val="008D2C9F"/>
    <w:rsid w:val="008D2DBD"/>
    <w:rsid w:val="008D2F63"/>
    <w:rsid w:val="008D31D4"/>
    <w:rsid w:val="008D337A"/>
    <w:rsid w:val="008D35D5"/>
    <w:rsid w:val="008D36C0"/>
    <w:rsid w:val="008D4193"/>
    <w:rsid w:val="008D4299"/>
    <w:rsid w:val="008D4B2C"/>
    <w:rsid w:val="008D4E38"/>
    <w:rsid w:val="008D5401"/>
    <w:rsid w:val="008D611D"/>
    <w:rsid w:val="008D6BB3"/>
    <w:rsid w:val="008D6D1B"/>
    <w:rsid w:val="008D7D55"/>
    <w:rsid w:val="008E0FA5"/>
    <w:rsid w:val="008E1A38"/>
    <w:rsid w:val="008E23C3"/>
    <w:rsid w:val="008E32D3"/>
    <w:rsid w:val="008E3F16"/>
    <w:rsid w:val="008E46BC"/>
    <w:rsid w:val="008E4AD7"/>
    <w:rsid w:val="008E54F2"/>
    <w:rsid w:val="008E556F"/>
    <w:rsid w:val="008E608F"/>
    <w:rsid w:val="008E672B"/>
    <w:rsid w:val="008E7207"/>
    <w:rsid w:val="008E7F02"/>
    <w:rsid w:val="008F0014"/>
    <w:rsid w:val="008F03BA"/>
    <w:rsid w:val="008F068D"/>
    <w:rsid w:val="008F0902"/>
    <w:rsid w:val="008F0A43"/>
    <w:rsid w:val="008F1369"/>
    <w:rsid w:val="008F14D2"/>
    <w:rsid w:val="008F15F9"/>
    <w:rsid w:val="008F1719"/>
    <w:rsid w:val="008F176A"/>
    <w:rsid w:val="008F1FBA"/>
    <w:rsid w:val="008F25FA"/>
    <w:rsid w:val="008F293E"/>
    <w:rsid w:val="008F2CEC"/>
    <w:rsid w:val="008F320C"/>
    <w:rsid w:val="008F3F2D"/>
    <w:rsid w:val="008F456C"/>
    <w:rsid w:val="008F6881"/>
    <w:rsid w:val="008F68A3"/>
    <w:rsid w:val="008F6BA0"/>
    <w:rsid w:val="008F721E"/>
    <w:rsid w:val="008F7303"/>
    <w:rsid w:val="008F7742"/>
    <w:rsid w:val="008F7BA5"/>
    <w:rsid w:val="008F7F61"/>
    <w:rsid w:val="00900714"/>
    <w:rsid w:val="009009F2"/>
    <w:rsid w:val="00900C9E"/>
    <w:rsid w:val="00900E07"/>
    <w:rsid w:val="00901F44"/>
    <w:rsid w:val="00903182"/>
    <w:rsid w:val="009035B7"/>
    <w:rsid w:val="00903AC3"/>
    <w:rsid w:val="00903AE7"/>
    <w:rsid w:val="00903D61"/>
    <w:rsid w:val="00904081"/>
    <w:rsid w:val="00905523"/>
    <w:rsid w:val="0090579B"/>
    <w:rsid w:val="00905F21"/>
    <w:rsid w:val="00906954"/>
    <w:rsid w:val="00906DDC"/>
    <w:rsid w:val="009116BF"/>
    <w:rsid w:val="0091223D"/>
    <w:rsid w:val="00912548"/>
    <w:rsid w:val="00912741"/>
    <w:rsid w:val="00913310"/>
    <w:rsid w:val="0091394D"/>
    <w:rsid w:val="009140DE"/>
    <w:rsid w:val="009142B3"/>
    <w:rsid w:val="00914361"/>
    <w:rsid w:val="00914FD0"/>
    <w:rsid w:val="0091529E"/>
    <w:rsid w:val="00915750"/>
    <w:rsid w:val="009159D3"/>
    <w:rsid w:val="00916207"/>
    <w:rsid w:val="00916D88"/>
    <w:rsid w:val="00917052"/>
    <w:rsid w:val="009170FC"/>
    <w:rsid w:val="00917939"/>
    <w:rsid w:val="00920A0B"/>
    <w:rsid w:val="00920ABB"/>
    <w:rsid w:val="0092378F"/>
    <w:rsid w:val="009242E8"/>
    <w:rsid w:val="009251DA"/>
    <w:rsid w:val="00925F55"/>
    <w:rsid w:val="009263E3"/>
    <w:rsid w:val="00926959"/>
    <w:rsid w:val="0092751D"/>
    <w:rsid w:val="0093024E"/>
    <w:rsid w:val="0093112F"/>
    <w:rsid w:val="00932A8B"/>
    <w:rsid w:val="00932EF0"/>
    <w:rsid w:val="009335CD"/>
    <w:rsid w:val="009339B6"/>
    <w:rsid w:val="00933CF0"/>
    <w:rsid w:val="00933E57"/>
    <w:rsid w:val="009340D5"/>
    <w:rsid w:val="009340EA"/>
    <w:rsid w:val="00935250"/>
    <w:rsid w:val="009354B1"/>
    <w:rsid w:val="00935E6C"/>
    <w:rsid w:val="00937911"/>
    <w:rsid w:val="00937EEA"/>
    <w:rsid w:val="00940A45"/>
    <w:rsid w:val="00940C68"/>
    <w:rsid w:val="0094269B"/>
    <w:rsid w:val="00943031"/>
    <w:rsid w:val="0094327A"/>
    <w:rsid w:val="00943ED7"/>
    <w:rsid w:val="00943EDB"/>
    <w:rsid w:val="00943F5D"/>
    <w:rsid w:val="009444E2"/>
    <w:rsid w:val="00944C3B"/>
    <w:rsid w:val="00945DE4"/>
    <w:rsid w:val="009466D0"/>
    <w:rsid w:val="00946707"/>
    <w:rsid w:val="00946974"/>
    <w:rsid w:val="00946B10"/>
    <w:rsid w:val="0094714F"/>
    <w:rsid w:val="0094737D"/>
    <w:rsid w:val="00950FDF"/>
    <w:rsid w:val="00951EA2"/>
    <w:rsid w:val="00952474"/>
    <w:rsid w:val="009525C5"/>
    <w:rsid w:val="009527A4"/>
    <w:rsid w:val="00952D45"/>
    <w:rsid w:val="00952DC6"/>
    <w:rsid w:val="00953707"/>
    <w:rsid w:val="00953D0E"/>
    <w:rsid w:val="0095599D"/>
    <w:rsid w:val="0095651B"/>
    <w:rsid w:val="00956D15"/>
    <w:rsid w:val="00957CCF"/>
    <w:rsid w:val="00961691"/>
    <w:rsid w:val="00961D3F"/>
    <w:rsid w:val="0096276E"/>
    <w:rsid w:val="00963EAD"/>
    <w:rsid w:val="00965814"/>
    <w:rsid w:val="00966967"/>
    <w:rsid w:val="009676B3"/>
    <w:rsid w:val="009700F5"/>
    <w:rsid w:val="009702D2"/>
    <w:rsid w:val="009704F7"/>
    <w:rsid w:val="00970A49"/>
    <w:rsid w:val="0097109D"/>
    <w:rsid w:val="00971111"/>
    <w:rsid w:val="00971F59"/>
    <w:rsid w:val="00972B1F"/>
    <w:rsid w:val="00972B59"/>
    <w:rsid w:val="00972BA1"/>
    <w:rsid w:val="0097332D"/>
    <w:rsid w:val="009736E1"/>
    <w:rsid w:val="00973EF8"/>
    <w:rsid w:val="0097453D"/>
    <w:rsid w:val="00974751"/>
    <w:rsid w:val="00975206"/>
    <w:rsid w:val="009764CF"/>
    <w:rsid w:val="009765C1"/>
    <w:rsid w:val="009767D7"/>
    <w:rsid w:val="009772D7"/>
    <w:rsid w:val="0097753C"/>
    <w:rsid w:val="00977671"/>
    <w:rsid w:val="00977F2E"/>
    <w:rsid w:val="00980286"/>
    <w:rsid w:val="00980A9A"/>
    <w:rsid w:val="009829B5"/>
    <w:rsid w:val="00982C49"/>
    <w:rsid w:val="009831C5"/>
    <w:rsid w:val="009836BA"/>
    <w:rsid w:val="00983C80"/>
    <w:rsid w:val="00983DB9"/>
    <w:rsid w:val="00984BA0"/>
    <w:rsid w:val="00984FD3"/>
    <w:rsid w:val="00985BAB"/>
    <w:rsid w:val="00987295"/>
    <w:rsid w:val="0098798B"/>
    <w:rsid w:val="0099024A"/>
    <w:rsid w:val="009910F0"/>
    <w:rsid w:val="0099190C"/>
    <w:rsid w:val="00991B31"/>
    <w:rsid w:val="00992049"/>
    <w:rsid w:val="00992456"/>
    <w:rsid w:val="00992508"/>
    <w:rsid w:val="0099251E"/>
    <w:rsid w:val="00992966"/>
    <w:rsid w:val="00993110"/>
    <w:rsid w:val="00993833"/>
    <w:rsid w:val="00993C76"/>
    <w:rsid w:val="00993D2F"/>
    <w:rsid w:val="00994182"/>
    <w:rsid w:val="00994618"/>
    <w:rsid w:val="00995558"/>
    <w:rsid w:val="00995B3D"/>
    <w:rsid w:val="00996188"/>
    <w:rsid w:val="009966AF"/>
    <w:rsid w:val="0099749A"/>
    <w:rsid w:val="00997CB9"/>
    <w:rsid w:val="009A1022"/>
    <w:rsid w:val="009A13DD"/>
    <w:rsid w:val="009A1C2C"/>
    <w:rsid w:val="009A23A2"/>
    <w:rsid w:val="009A35EC"/>
    <w:rsid w:val="009A3ABA"/>
    <w:rsid w:val="009A3B1A"/>
    <w:rsid w:val="009A3C55"/>
    <w:rsid w:val="009A3DFE"/>
    <w:rsid w:val="009A4122"/>
    <w:rsid w:val="009A456D"/>
    <w:rsid w:val="009A4DAA"/>
    <w:rsid w:val="009A532D"/>
    <w:rsid w:val="009A6E1B"/>
    <w:rsid w:val="009A7306"/>
    <w:rsid w:val="009A778E"/>
    <w:rsid w:val="009B00C2"/>
    <w:rsid w:val="009B0201"/>
    <w:rsid w:val="009B02AD"/>
    <w:rsid w:val="009B07CA"/>
    <w:rsid w:val="009B0934"/>
    <w:rsid w:val="009B171A"/>
    <w:rsid w:val="009B22E1"/>
    <w:rsid w:val="009B290E"/>
    <w:rsid w:val="009B2B9E"/>
    <w:rsid w:val="009B3D63"/>
    <w:rsid w:val="009B3F60"/>
    <w:rsid w:val="009B41A9"/>
    <w:rsid w:val="009B49C6"/>
    <w:rsid w:val="009B54AA"/>
    <w:rsid w:val="009B6099"/>
    <w:rsid w:val="009B60FB"/>
    <w:rsid w:val="009B6299"/>
    <w:rsid w:val="009B6C27"/>
    <w:rsid w:val="009B6F6F"/>
    <w:rsid w:val="009B7340"/>
    <w:rsid w:val="009B7AC4"/>
    <w:rsid w:val="009C0967"/>
    <w:rsid w:val="009C0B29"/>
    <w:rsid w:val="009C1573"/>
    <w:rsid w:val="009C264C"/>
    <w:rsid w:val="009C2A82"/>
    <w:rsid w:val="009C2C6C"/>
    <w:rsid w:val="009C2CF8"/>
    <w:rsid w:val="009C2DCB"/>
    <w:rsid w:val="009C3B47"/>
    <w:rsid w:val="009C40EC"/>
    <w:rsid w:val="009C4955"/>
    <w:rsid w:val="009C4C84"/>
    <w:rsid w:val="009C5A2E"/>
    <w:rsid w:val="009C647E"/>
    <w:rsid w:val="009C737A"/>
    <w:rsid w:val="009D0445"/>
    <w:rsid w:val="009D0B21"/>
    <w:rsid w:val="009D0E67"/>
    <w:rsid w:val="009D13AA"/>
    <w:rsid w:val="009D2F44"/>
    <w:rsid w:val="009D37D7"/>
    <w:rsid w:val="009D3898"/>
    <w:rsid w:val="009D539B"/>
    <w:rsid w:val="009D57AE"/>
    <w:rsid w:val="009D58C2"/>
    <w:rsid w:val="009D5FE0"/>
    <w:rsid w:val="009D7378"/>
    <w:rsid w:val="009D7865"/>
    <w:rsid w:val="009D7F73"/>
    <w:rsid w:val="009E3418"/>
    <w:rsid w:val="009E3419"/>
    <w:rsid w:val="009E4139"/>
    <w:rsid w:val="009E4E6F"/>
    <w:rsid w:val="009E536A"/>
    <w:rsid w:val="009E6538"/>
    <w:rsid w:val="009E6627"/>
    <w:rsid w:val="009E6CC4"/>
    <w:rsid w:val="009E7098"/>
    <w:rsid w:val="009F2A0F"/>
    <w:rsid w:val="009F2D39"/>
    <w:rsid w:val="009F2D46"/>
    <w:rsid w:val="009F2FDE"/>
    <w:rsid w:val="009F3136"/>
    <w:rsid w:val="009F3210"/>
    <w:rsid w:val="009F3423"/>
    <w:rsid w:val="009F377D"/>
    <w:rsid w:val="009F42FE"/>
    <w:rsid w:val="009F4681"/>
    <w:rsid w:val="009F5357"/>
    <w:rsid w:val="009F5C08"/>
    <w:rsid w:val="009F5C6C"/>
    <w:rsid w:val="009F6662"/>
    <w:rsid w:val="009F7AFB"/>
    <w:rsid w:val="00A003B0"/>
    <w:rsid w:val="00A01102"/>
    <w:rsid w:val="00A01D55"/>
    <w:rsid w:val="00A0215B"/>
    <w:rsid w:val="00A0227A"/>
    <w:rsid w:val="00A037CC"/>
    <w:rsid w:val="00A03CD7"/>
    <w:rsid w:val="00A04823"/>
    <w:rsid w:val="00A04872"/>
    <w:rsid w:val="00A058BD"/>
    <w:rsid w:val="00A05FA0"/>
    <w:rsid w:val="00A0611C"/>
    <w:rsid w:val="00A0629F"/>
    <w:rsid w:val="00A07258"/>
    <w:rsid w:val="00A07FD8"/>
    <w:rsid w:val="00A10C99"/>
    <w:rsid w:val="00A10F53"/>
    <w:rsid w:val="00A1161B"/>
    <w:rsid w:val="00A1206A"/>
    <w:rsid w:val="00A12737"/>
    <w:rsid w:val="00A12885"/>
    <w:rsid w:val="00A12B03"/>
    <w:rsid w:val="00A12CC5"/>
    <w:rsid w:val="00A13630"/>
    <w:rsid w:val="00A13A1C"/>
    <w:rsid w:val="00A13AD0"/>
    <w:rsid w:val="00A149C5"/>
    <w:rsid w:val="00A14A10"/>
    <w:rsid w:val="00A14A2D"/>
    <w:rsid w:val="00A14DB0"/>
    <w:rsid w:val="00A15EE7"/>
    <w:rsid w:val="00A163E4"/>
    <w:rsid w:val="00A16A51"/>
    <w:rsid w:val="00A17346"/>
    <w:rsid w:val="00A2129C"/>
    <w:rsid w:val="00A21DBA"/>
    <w:rsid w:val="00A23028"/>
    <w:rsid w:val="00A2334F"/>
    <w:rsid w:val="00A2372B"/>
    <w:rsid w:val="00A24BCB"/>
    <w:rsid w:val="00A25548"/>
    <w:rsid w:val="00A26AA9"/>
    <w:rsid w:val="00A26EC0"/>
    <w:rsid w:val="00A26ED0"/>
    <w:rsid w:val="00A271C2"/>
    <w:rsid w:val="00A276C0"/>
    <w:rsid w:val="00A27CBC"/>
    <w:rsid w:val="00A27E7E"/>
    <w:rsid w:val="00A30048"/>
    <w:rsid w:val="00A306CC"/>
    <w:rsid w:val="00A31028"/>
    <w:rsid w:val="00A3104E"/>
    <w:rsid w:val="00A312DF"/>
    <w:rsid w:val="00A31B24"/>
    <w:rsid w:val="00A31E0A"/>
    <w:rsid w:val="00A33080"/>
    <w:rsid w:val="00A332CC"/>
    <w:rsid w:val="00A33A9E"/>
    <w:rsid w:val="00A346D5"/>
    <w:rsid w:val="00A35451"/>
    <w:rsid w:val="00A35B16"/>
    <w:rsid w:val="00A35CB8"/>
    <w:rsid w:val="00A3629E"/>
    <w:rsid w:val="00A3660F"/>
    <w:rsid w:val="00A37D23"/>
    <w:rsid w:val="00A40344"/>
    <w:rsid w:val="00A40CF3"/>
    <w:rsid w:val="00A413B0"/>
    <w:rsid w:val="00A41606"/>
    <w:rsid w:val="00A41815"/>
    <w:rsid w:val="00A4195C"/>
    <w:rsid w:val="00A422CD"/>
    <w:rsid w:val="00A42568"/>
    <w:rsid w:val="00A425A6"/>
    <w:rsid w:val="00A42979"/>
    <w:rsid w:val="00A42B85"/>
    <w:rsid w:val="00A43C64"/>
    <w:rsid w:val="00A44487"/>
    <w:rsid w:val="00A4493A"/>
    <w:rsid w:val="00A449E8"/>
    <w:rsid w:val="00A4781F"/>
    <w:rsid w:val="00A47BBB"/>
    <w:rsid w:val="00A51050"/>
    <w:rsid w:val="00A51730"/>
    <w:rsid w:val="00A5175B"/>
    <w:rsid w:val="00A519C7"/>
    <w:rsid w:val="00A526A5"/>
    <w:rsid w:val="00A528D6"/>
    <w:rsid w:val="00A53309"/>
    <w:rsid w:val="00A53B35"/>
    <w:rsid w:val="00A541DB"/>
    <w:rsid w:val="00A5424D"/>
    <w:rsid w:val="00A549D0"/>
    <w:rsid w:val="00A557B2"/>
    <w:rsid w:val="00A56046"/>
    <w:rsid w:val="00A564DA"/>
    <w:rsid w:val="00A56C0F"/>
    <w:rsid w:val="00A56C39"/>
    <w:rsid w:val="00A57A52"/>
    <w:rsid w:val="00A60AC9"/>
    <w:rsid w:val="00A60FAD"/>
    <w:rsid w:val="00A62E43"/>
    <w:rsid w:val="00A634E1"/>
    <w:rsid w:val="00A634EF"/>
    <w:rsid w:val="00A638FC"/>
    <w:rsid w:val="00A63D2E"/>
    <w:rsid w:val="00A65715"/>
    <w:rsid w:val="00A665E5"/>
    <w:rsid w:val="00A66BB4"/>
    <w:rsid w:val="00A67BA6"/>
    <w:rsid w:val="00A67BCE"/>
    <w:rsid w:val="00A67DDD"/>
    <w:rsid w:val="00A707F0"/>
    <w:rsid w:val="00A70E86"/>
    <w:rsid w:val="00A71DE2"/>
    <w:rsid w:val="00A71F54"/>
    <w:rsid w:val="00A7281B"/>
    <w:rsid w:val="00A72D2F"/>
    <w:rsid w:val="00A73174"/>
    <w:rsid w:val="00A738AA"/>
    <w:rsid w:val="00A73CD7"/>
    <w:rsid w:val="00A73E42"/>
    <w:rsid w:val="00A74321"/>
    <w:rsid w:val="00A74E72"/>
    <w:rsid w:val="00A75318"/>
    <w:rsid w:val="00A759E7"/>
    <w:rsid w:val="00A75F51"/>
    <w:rsid w:val="00A76478"/>
    <w:rsid w:val="00A76EC1"/>
    <w:rsid w:val="00A77123"/>
    <w:rsid w:val="00A808DF"/>
    <w:rsid w:val="00A813B3"/>
    <w:rsid w:val="00A82970"/>
    <w:rsid w:val="00A82B18"/>
    <w:rsid w:val="00A83CE7"/>
    <w:rsid w:val="00A83E9B"/>
    <w:rsid w:val="00A84337"/>
    <w:rsid w:val="00A84484"/>
    <w:rsid w:val="00A85DCA"/>
    <w:rsid w:val="00A8682F"/>
    <w:rsid w:val="00A87D27"/>
    <w:rsid w:val="00A911B3"/>
    <w:rsid w:val="00A916E2"/>
    <w:rsid w:val="00A924BF"/>
    <w:rsid w:val="00A94521"/>
    <w:rsid w:val="00A94879"/>
    <w:rsid w:val="00A949A9"/>
    <w:rsid w:val="00A94D06"/>
    <w:rsid w:val="00A95099"/>
    <w:rsid w:val="00A95BA7"/>
    <w:rsid w:val="00A96D05"/>
    <w:rsid w:val="00A96DE4"/>
    <w:rsid w:val="00A970F0"/>
    <w:rsid w:val="00AA0ACF"/>
    <w:rsid w:val="00AA17BE"/>
    <w:rsid w:val="00AA199B"/>
    <w:rsid w:val="00AA29C2"/>
    <w:rsid w:val="00AA2AF1"/>
    <w:rsid w:val="00AA3E54"/>
    <w:rsid w:val="00AA4754"/>
    <w:rsid w:val="00AA51BA"/>
    <w:rsid w:val="00AA691A"/>
    <w:rsid w:val="00AA6ECF"/>
    <w:rsid w:val="00AA7236"/>
    <w:rsid w:val="00AA73B5"/>
    <w:rsid w:val="00AB001C"/>
    <w:rsid w:val="00AB0144"/>
    <w:rsid w:val="00AB046E"/>
    <w:rsid w:val="00AB1461"/>
    <w:rsid w:val="00AB21CC"/>
    <w:rsid w:val="00AB28E5"/>
    <w:rsid w:val="00AB304C"/>
    <w:rsid w:val="00AB31B9"/>
    <w:rsid w:val="00AB36FA"/>
    <w:rsid w:val="00AB3743"/>
    <w:rsid w:val="00AB3FD9"/>
    <w:rsid w:val="00AB46EE"/>
    <w:rsid w:val="00AB4AEE"/>
    <w:rsid w:val="00AB4DC1"/>
    <w:rsid w:val="00AB5278"/>
    <w:rsid w:val="00AB55F5"/>
    <w:rsid w:val="00AB5E77"/>
    <w:rsid w:val="00AB7069"/>
    <w:rsid w:val="00AB71CD"/>
    <w:rsid w:val="00AB7473"/>
    <w:rsid w:val="00AB7DB0"/>
    <w:rsid w:val="00AC082D"/>
    <w:rsid w:val="00AC1500"/>
    <w:rsid w:val="00AC258A"/>
    <w:rsid w:val="00AC2703"/>
    <w:rsid w:val="00AC2793"/>
    <w:rsid w:val="00AC2913"/>
    <w:rsid w:val="00AC3617"/>
    <w:rsid w:val="00AC3F15"/>
    <w:rsid w:val="00AC4051"/>
    <w:rsid w:val="00AC443A"/>
    <w:rsid w:val="00AC4F97"/>
    <w:rsid w:val="00AC5DF5"/>
    <w:rsid w:val="00AC7CE1"/>
    <w:rsid w:val="00AD00BD"/>
    <w:rsid w:val="00AD085A"/>
    <w:rsid w:val="00AD0E7E"/>
    <w:rsid w:val="00AD1FA1"/>
    <w:rsid w:val="00AD288F"/>
    <w:rsid w:val="00AD2DDA"/>
    <w:rsid w:val="00AD3D4E"/>
    <w:rsid w:val="00AD4738"/>
    <w:rsid w:val="00AD48EA"/>
    <w:rsid w:val="00AD56FA"/>
    <w:rsid w:val="00AD57C8"/>
    <w:rsid w:val="00AD5F7F"/>
    <w:rsid w:val="00AD6927"/>
    <w:rsid w:val="00AD6A53"/>
    <w:rsid w:val="00AD78C3"/>
    <w:rsid w:val="00AD7CDE"/>
    <w:rsid w:val="00AE042E"/>
    <w:rsid w:val="00AE096F"/>
    <w:rsid w:val="00AE0E21"/>
    <w:rsid w:val="00AE111E"/>
    <w:rsid w:val="00AE1FD6"/>
    <w:rsid w:val="00AE3CF5"/>
    <w:rsid w:val="00AE3EAC"/>
    <w:rsid w:val="00AE4273"/>
    <w:rsid w:val="00AE541F"/>
    <w:rsid w:val="00AE550A"/>
    <w:rsid w:val="00AE5FED"/>
    <w:rsid w:val="00AE6DE6"/>
    <w:rsid w:val="00AE7669"/>
    <w:rsid w:val="00AE7A1E"/>
    <w:rsid w:val="00AF0040"/>
    <w:rsid w:val="00AF0346"/>
    <w:rsid w:val="00AF0C18"/>
    <w:rsid w:val="00AF1273"/>
    <w:rsid w:val="00AF1CD0"/>
    <w:rsid w:val="00AF281D"/>
    <w:rsid w:val="00AF3AAD"/>
    <w:rsid w:val="00AF3C55"/>
    <w:rsid w:val="00AF4067"/>
    <w:rsid w:val="00AF570A"/>
    <w:rsid w:val="00AF5821"/>
    <w:rsid w:val="00AF59CD"/>
    <w:rsid w:val="00AF6147"/>
    <w:rsid w:val="00AF638A"/>
    <w:rsid w:val="00AF644D"/>
    <w:rsid w:val="00AF6DBD"/>
    <w:rsid w:val="00AF6F9F"/>
    <w:rsid w:val="00B0084C"/>
    <w:rsid w:val="00B00BD4"/>
    <w:rsid w:val="00B0161A"/>
    <w:rsid w:val="00B018AE"/>
    <w:rsid w:val="00B0190E"/>
    <w:rsid w:val="00B024E9"/>
    <w:rsid w:val="00B02C01"/>
    <w:rsid w:val="00B03318"/>
    <w:rsid w:val="00B05084"/>
    <w:rsid w:val="00B05396"/>
    <w:rsid w:val="00B05C07"/>
    <w:rsid w:val="00B05C90"/>
    <w:rsid w:val="00B05F9E"/>
    <w:rsid w:val="00B06E15"/>
    <w:rsid w:val="00B0745D"/>
    <w:rsid w:val="00B07A22"/>
    <w:rsid w:val="00B10A40"/>
    <w:rsid w:val="00B11465"/>
    <w:rsid w:val="00B11960"/>
    <w:rsid w:val="00B11DCE"/>
    <w:rsid w:val="00B120BA"/>
    <w:rsid w:val="00B13940"/>
    <w:rsid w:val="00B13986"/>
    <w:rsid w:val="00B139AF"/>
    <w:rsid w:val="00B146F5"/>
    <w:rsid w:val="00B149B0"/>
    <w:rsid w:val="00B14AF6"/>
    <w:rsid w:val="00B14FA1"/>
    <w:rsid w:val="00B15787"/>
    <w:rsid w:val="00B160FD"/>
    <w:rsid w:val="00B16EE9"/>
    <w:rsid w:val="00B176F2"/>
    <w:rsid w:val="00B20659"/>
    <w:rsid w:val="00B210E1"/>
    <w:rsid w:val="00B21100"/>
    <w:rsid w:val="00B212C1"/>
    <w:rsid w:val="00B224F5"/>
    <w:rsid w:val="00B23837"/>
    <w:rsid w:val="00B239D9"/>
    <w:rsid w:val="00B243E6"/>
    <w:rsid w:val="00B245E1"/>
    <w:rsid w:val="00B2504B"/>
    <w:rsid w:val="00B25515"/>
    <w:rsid w:val="00B25ABB"/>
    <w:rsid w:val="00B25F6E"/>
    <w:rsid w:val="00B267E3"/>
    <w:rsid w:val="00B26B9A"/>
    <w:rsid w:val="00B26F70"/>
    <w:rsid w:val="00B2710A"/>
    <w:rsid w:val="00B27740"/>
    <w:rsid w:val="00B277EF"/>
    <w:rsid w:val="00B27CFB"/>
    <w:rsid w:val="00B301A0"/>
    <w:rsid w:val="00B304CF"/>
    <w:rsid w:val="00B31BF3"/>
    <w:rsid w:val="00B320AD"/>
    <w:rsid w:val="00B32881"/>
    <w:rsid w:val="00B33623"/>
    <w:rsid w:val="00B33863"/>
    <w:rsid w:val="00B33DD0"/>
    <w:rsid w:val="00B345A2"/>
    <w:rsid w:val="00B34DBA"/>
    <w:rsid w:val="00B354B2"/>
    <w:rsid w:val="00B35A4F"/>
    <w:rsid w:val="00B362F4"/>
    <w:rsid w:val="00B36405"/>
    <w:rsid w:val="00B4048A"/>
    <w:rsid w:val="00B417EC"/>
    <w:rsid w:val="00B42867"/>
    <w:rsid w:val="00B433D1"/>
    <w:rsid w:val="00B43477"/>
    <w:rsid w:val="00B435C4"/>
    <w:rsid w:val="00B43B52"/>
    <w:rsid w:val="00B43CBF"/>
    <w:rsid w:val="00B441FF"/>
    <w:rsid w:val="00B44279"/>
    <w:rsid w:val="00B44480"/>
    <w:rsid w:val="00B449F7"/>
    <w:rsid w:val="00B44DC9"/>
    <w:rsid w:val="00B453FA"/>
    <w:rsid w:val="00B4660C"/>
    <w:rsid w:val="00B50F7C"/>
    <w:rsid w:val="00B51124"/>
    <w:rsid w:val="00B518B3"/>
    <w:rsid w:val="00B51CDA"/>
    <w:rsid w:val="00B5380B"/>
    <w:rsid w:val="00B53B61"/>
    <w:rsid w:val="00B53CFE"/>
    <w:rsid w:val="00B5481E"/>
    <w:rsid w:val="00B54F88"/>
    <w:rsid w:val="00B55530"/>
    <w:rsid w:val="00B55566"/>
    <w:rsid w:val="00B5583D"/>
    <w:rsid w:val="00B55C03"/>
    <w:rsid w:val="00B60755"/>
    <w:rsid w:val="00B60BDA"/>
    <w:rsid w:val="00B62A9B"/>
    <w:rsid w:val="00B63A5B"/>
    <w:rsid w:val="00B63D6A"/>
    <w:rsid w:val="00B64190"/>
    <w:rsid w:val="00B642AC"/>
    <w:rsid w:val="00B6437E"/>
    <w:rsid w:val="00B6561F"/>
    <w:rsid w:val="00B6592F"/>
    <w:rsid w:val="00B65948"/>
    <w:rsid w:val="00B660F8"/>
    <w:rsid w:val="00B679B2"/>
    <w:rsid w:val="00B70079"/>
    <w:rsid w:val="00B70DB4"/>
    <w:rsid w:val="00B719CE"/>
    <w:rsid w:val="00B725ED"/>
    <w:rsid w:val="00B72F14"/>
    <w:rsid w:val="00B72FAB"/>
    <w:rsid w:val="00B732C4"/>
    <w:rsid w:val="00B75458"/>
    <w:rsid w:val="00B7638F"/>
    <w:rsid w:val="00B76DA0"/>
    <w:rsid w:val="00B776F0"/>
    <w:rsid w:val="00B77761"/>
    <w:rsid w:val="00B77A25"/>
    <w:rsid w:val="00B77FE7"/>
    <w:rsid w:val="00B80112"/>
    <w:rsid w:val="00B805A6"/>
    <w:rsid w:val="00B80A26"/>
    <w:rsid w:val="00B814A7"/>
    <w:rsid w:val="00B827D0"/>
    <w:rsid w:val="00B829F7"/>
    <w:rsid w:val="00B82C78"/>
    <w:rsid w:val="00B82D55"/>
    <w:rsid w:val="00B83A0A"/>
    <w:rsid w:val="00B841E0"/>
    <w:rsid w:val="00B844CD"/>
    <w:rsid w:val="00B852CE"/>
    <w:rsid w:val="00B8607F"/>
    <w:rsid w:val="00B8638B"/>
    <w:rsid w:val="00B867B3"/>
    <w:rsid w:val="00B87089"/>
    <w:rsid w:val="00B872F3"/>
    <w:rsid w:val="00B87468"/>
    <w:rsid w:val="00B901B2"/>
    <w:rsid w:val="00B90383"/>
    <w:rsid w:val="00B905CF"/>
    <w:rsid w:val="00B90F5F"/>
    <w:rsid w:val="00B91607"/>
    <w:rsid w:val="00B91A43"/>
    <w:rsid w:val="00B934A8"/>
    <w:rsid w:val="00B93C39"/>
    <w:rsid w:val="00B94284"/>
    <w:rsid w:val="00B94DFA"/>
    <w:rsid w:val="00B95A87"/>
    <w:rsid w:val="00B966B6"/>
    <w:rsid w:val="00B97424"/>
    <w:rsid w:val="00B978E5"/>
    <w:rsid w:val="00B97BA4"/>
    <w:rsid w:val="00BA0B6D"/>
    <w:rsid w:val="00BA0D81"/>
    <w:rsid w:val="00BA0DCC"/>
    <w:rsid w:val="00BA0E1D"/>
    <w:rsid w:val="00BA10F3"/>
    <w:rsid w:val="00BA1382"/>
    <w:rsid w:val="00BA18B7"/>
    <w:rsid w:val="00BA29B8"/>
    <w:rsid w:val="00BA2E18"/>
    <w:rsid w:val="00BA347A"/>
    <w:rsid w:val="00BA4533"/>
    <w:rsid w:val="00BA4FBE"/>
    <w:rsid w:val="00BA503C"/>
    <w:rsid w:val="00BA5078"/>
    <w:rsid w:val="00BA62D6"/>
    <w:rsid w:val="00BA69BC"/>
    <w:rsid w:val="00BA6C17"/>
    <w:rsid w:val="00BA6F5F"/>
    <w:rsid w:val="00BA7F3A"/>
    <w:rsid w:val="00BB0204"/>
    <w:rsid w:val="00BB1368"/>
    <w:rsid w:val="00BB19EB"/>
    <w:rsid w:val="00BB1AA1"/>
    <w:rsid w:val="00BB3388"/>
    <w:rsid w:val="00BB3987"/>
    <w:rsid w:val="00BB4BA4"/>
    <w:rsid w:val="00BB4DD8"/>
    <w:rsid w:val="00BB5E04"/>
    <w:rsid w:val="00BB6C29"/>
    <w:rsid w:val="00BB6EC3"/>
    <w:rsid w:val="00BB712E"/>
    <w:rsid w:val="00BB7458"/>
    <w:rsid w:val="00BB76DE"/>
    <w:rsid w:val="00BB7D0A"/>
    <w:rsid w:val="00BB7DC1"/>
    <w:rsid w:val="00BB7E33"/>
    <w:rsid w:val="00BB7F5D"/>
    <w:rsid w:val="00BC0017"/>
    <w:rsid w:val="00BC034D"/>
    <w:rsid w:val="00BC09F9"/>
    <w:rsid w:val="00BC1332"/>
    <w:rsid w:val="00BC277F"/>
    <w:rsid w:val="00BC2D70"/>
    <w:rsid w:val="00BC355A"/>
    <w:rsid w:val="00BC3DB5"/>
    <w:rsid w:val="00BC3FD1"/>
    <w:rsid w:val="00BC4DF5"/>
    <w:rsid w:val="00BC50F3"/>
    <w:rsid w:val="00BC550B"/>
    <w:rsid w:val="00BC5C1E"/>
    <w:rsid w:val="00BC611E"/>
    <w:rsid w:val="00BC635C"/>
    <w:rsid w:val="00BC6995"/>
    <w:rsid w:val="00BC6D63"/>
    <w:rsid w:val="00BC740A"/>
    <w:rsid w:val="00BC7562"/>
    <w:rsid w:val="00BC76D3"/>
    <w:rsid w:val="00BC796B"/>
    <w:rsid w:val="00BC7F75"/>
    <w:rsid w:val="00BD18DB"/>
    <w:rsid w:val="00BD1B35"/>
    <w:rsid w:val="00BD1D43"/>
    <w:rsid w:val="00BD27EE"/>
    <w:rsid w:val="00BD385D"/>
    <w:rsid w:val="00BD3F04"/>
    <w:rsid w:val="00BD4185"/>
    <w:rsid w:val="00BD47FA"/>
    <w:rsid w:val="00BD4853"/>
    <w:rsid w:val="00BD511B"/>
    <w:rsid w:val="00BD5D63"/>
    <w:rsid w:val="00BD6E47"/>
    <w:rsid w:val="00BD70E3"/>
    <w:rsid w:val="00BD7D89"/>
    <w:rsid w:val="00BE0294"/>
    <w:rsid w:val="00BE12E1"/>
    <w:rsid w:val="00BE13BB"/>
    <w:rsid w:val="00BE1622"/>
    <w:rsid w:val="00BE2736"/>
    <w:rsid w:val="00BE2992"/>
    <w:rsid w:val="00BE355E"/>
    <w:rsid w:val="00BE3565"/>
    <w:rsid w:val="00BE37A4"/>
    <w:rsid w:val="00BE3F0C"/>
    <w:rsid w:val="00BE400D"/>
    <w:rsid w:val="00BE4B60"/>
    <w:rsid w:val="00BE5736"/>
    <w:rsid w:val="00BE6C5B"/>
    <w:rsid w:val="00BE6CA4"/>
    <w:rsid w:val="00BE7523"/>
    <w:rsid w:val="00BF095F"/>
    <w:rsid w:val="00BF0B97"/>
    <w:rsid w:val="00BF1DD8"/>
    <w:rsid w:val="00BF22CE"/>
    <w:rsid w:val="00BF29CB"/>
    <w:rsid w:val="00BF2AD3"/>
    <w:rsid w:val="00BF3C53"/>
    <w:rsid w:val="00BF4BC5"/>
    <w:rsid w:val="00BF5234"/>
    <w:rsid w:val="00BF6219"/>
    <w:rsid w:val="00C01F19"/>
    <w:rsid w:val="00C01FB9"/>
    <w:rsid w:val="00C022CD"/>
    <w:rsid w:val="00C028E0"/>
    <w:rsid w:val="00C03731"/>
    <w:rsid w:val="00C038E7"/>
    <w:rsid w:val="00C03A89"/>
    <w:rsid w:val="00C03CAB"/>
    <w:rsid w:val="00C03D4E"/>
    <w:rsid w:val="00C04658"/>
    <w:rsid w:val="00C047AD"/>
    <w:rsid w:val="00C04CA4"/>
    <w:rsid w:val="00C04E87"/>
    <w:rsid w:val="00C05B60"/>
    <w:rsid w:val="00C05E25"/>
    <w:rsid w:val="00C063C7"/>
    <w:rsid w:val="00C07448"/>
    <w:rsid w:val="00C101BB"/>
    <w:rsid w:val="00C1322C"/>
    <w:rsid w:val="00C1326C"/>
    <w:rsid w:val="00C13591"/>
    <w:rsid w:val="00C13E3C"/>
    <w:rsid w:val="00C1504A"/>
    <w:rsid w:val="00C1562C"/>
    <w:rsid w:val="00C157DC"/>
    <w:rsid w:val="00C15C22"/>
    <w:rsid w:val="00C176F1"/>
    <w:rsid w:val="00C208D8"/>
    <w:rsid w:val="00C21514"/>
    <w:rsid w:val="00C21A15"/>
    <w:rsid w:val="00C2444A"/>
    <w:rsid w:val="00C2513C"/>
    <w:rsid w:val="00C25551"/>
    <w:rsid w:val="00C27ABE"/>
    <w:rsid w:val="00C27E7E"/>
    <w:rsid w:val="00C308B0"/>
    <w:rsid w:val="00C30967"/>
    <w:rsid w:val="00C31052"/>
    <w:rsid w:val="00C311D1"/>
    <w:rsid w:val="00C31AA6"/>
    <w:rsid w:val="00C32264"/>
    <w:rsid w:val="00C3379F"/>
    <w:rsid w:val="00C33C53"/>
    <w:rsid w:val="00C33FCF"/>
    <w:rsid w:val="00C35BBA"/>
    <w:rsid w:val="00C35EB0"/>
    <w:rsid w:val="00C3638D"/>
    <w:rsid w:val="00C37D95"/>
    <w:rsid w:val="00C4035D"/>
    <w:rsid w:val="00C419F1"/>
    <w:rsid w:val="00C4327B"/>
    <w:rsid w:val="00C43FDE"/>
    <w:rsid w:val="00C4467D"/>
    <w:rsid w:val="00C44B8D"/>
    <w:rsid w:val="00C4528A"/>
    <w:rsid w:val="00C4640A"/>
    <w:rsid w:val="00C47039"/>
    <w:rsid w:val="00C50323"/>
    <w:rsid w:val="00C50B66"/>
    <w:rsid w:val="00C517BE"/>
    <w:rsid w:val="00C519D9"/>
    <w:rsid w:val="00C521E7"/>
    <w:rsid w:val="00C5228D"/>
    <w:rsid w:val="00C5274D"/>
    <w:rsid w:val="00C52CA4"/>
    <w:rsid w:val="00C53613"/>
    <w:rsid w:val="00C552D8"/>
    <w:rsid w:val="00C55ECF"/>
    <w:rsid w:val="00C568B8"/>
    <w:rsid w:val="00C60852"/>
    <w:rsid w:val="00C60C82"/>
    <w:rsid w:val="00C61012"/>
    <w:rsid w:val="00C62567"/>
    <w:rsid w:val="00C62CFD"/>
    <w:rsid w:val="00C634BD"/>
    <w:rsid w:val="00C6368D"/>
    <w:rsid w:val="00C63949"/>
    <w:rsid w:val="00C63BA6"/>
    <w:rsid w:val="00C64142"/>
    <w:rsid w:val="00C64189"/>
    <w:rsid w:val="00C64A04"/>
    <w:rsid w:val="00C64BD1"/>
    <w:rsid w:val="00C661CC"/>
    <w:rsid w:val="00C66445"/>
    <w:rsid w:val="00C66815"/>
    <w:rsid w:val="00C668C7"/>
    <w:rsid w:val="00C7072B"/>
    <w:rsid w:val="00C70E8B"/>
    <w:rsid w:val="00C7180C"/>
    <w:rsid w:val="00C719FE"/>
    <w:rsid w:val="00C72119"/>
    <w:rsid w:val="00C72827"/>
    <w:rsid w:val="00C72C57"/>
    <w:rsid w:val="00C73B1E"/>
    <w:rsid w:val="00C73CA0"/>
    <w:rsid w:val="00C7400F"/>
    <w:rsid w:val="00C744E6"/>
    <w:rsid w:val="00C74B3D"/>
    <w:rsid w:val="00C74FCC"/>
    <w:rsid w:val="00C759AC"/>
    <w:rsid w:val="00C806FA"/>
    <w:rsid w:val="00C81099"/>
    <w:rsid w:val="00C82A56"/>
    <w:rsid w:val="00C82B1B"/>
    <w:rsid w:val="00C82FF8"/>
    <w:rsid w:val="00C83096"/>
    <w:rsid w:val="00C83D96"/>
    <w:rsid w:val="00C850CC"/>
    <w:rsid w:val="00C8541B"/>
    <w:rsid w:val="00C85F17"/>
    <w:rsid w:val="00C866CC"/>
    <w:rsid w:val="00C86A04"/>
    <w:rsid w:val="00C878E3"/>
    <w:rsid w:val="00C91324"/>
    <w:rsid w:val="00C916F0"/>
    <w:rsid w:val="00C91A12"/>
    <w:rsid w:val="00C921B4"/>
    <w:rsid w:val="00C92466"/>
    <w:rsid w:val="00C9349C"/>
    <w:rsid w:val="00C93750"/>
    <w:rsid w:val="00C93EDF"/>
    <w:rsid w:val="00C93F95"/>
    <w:rsid w:val="00C94016"/>
    <w:rsid w:val="00C952F3"/>
    <w:rsid w:val="00C953CC"/>
    <w:rsid w:val="00C9571A"/>
    <w:rsid w:val="00C964A0"/>
    <w:rsid w:val="00C96A7B"/>
    <w:rsid w:val="00C974F6"/>
    <w:rsid w:val="00C976FF"/>
    <w:rsid w:val="00C97F27"/>
    <w:rsid w:val="00CA0011"/>
    <w:rsid w:val="00CA132B"/>
    <w:rsid w:val="00CA2CD4"/>
    <w:rsid w:val="00CA3008"/>
    <w:rsid w:val="00CA32B6"/>
    <w:rsid w:val="00CA56FC"/>
    <w:rsid w:val="00CA59E8"/>
    <w:rsid w:val="00CA77C6"/>
    <w:rsid w:val="00CB0048"/>
    <w:rsid w:val="00CB0290"/>
    <w:rsid w:val="00CB0810"/>
    <w:rsid w:val="00CB12B2"/>
    <w:rsid w:val="00CB1FE4"/>
    <w:rsid w:val="00CB3108"/>
    <w:rsid w:val="00CB34CC"/>
    <w:rsid w:val="00CB39B8"/>
    <w:rsid w:val="00CB4DB4"/>
    <w:rsid w:val="00CB4DCD"/>
    <w:rsid w:val="00CB4E99"/>
    <w:rsid w:val="00CB52C9"/>
    <w:rsid w:val="00CB58E5"/>
    <w:rsid w:val="00CB5D93"/>
    <w:rsid w:val="00CB5F88"/>
    <w:rsid w:val="00CB6542"/>
    <w:rsid w:val="00CB6609"/>
    <w:rsid w:val="00CB67BD"/>
    <w:rsid w:val="00CB6894"/>
    <w:rsid w:val="00CB72EA"/>
    <w:rsid w:val="00CC08F6"/>
    <w:rsid w:val="00CC1B15"/>
    <w:rsid w:val="00CC1C0F"/>
    <w:rsid w:val="00CC246F"/>
    <w:rsid w:val="00CC28B3"/>
    <w:rsid w:val="00CC297F"/>
    <w:rsid w:val="00CC2A0B"/>
    <w:rsid w:val="00CC2E69"/>
    <w:rsid w:val="00CC30CB"/>
    <w:rsid w:val="00CC3280"/>
    <w:rsid w:val="00CC36EA"/>
    <w:rsid w:val="00CC3FD0"/>
    <w:rsid w:val="00CC413A"/>
    <w:rsid w:val="00CC4D39"/>
    <w:rsid w:val="00CC52B9"/>
    <w:rsid w:val="00CC535B"/>
    <w:rsid w:val="00CC6216"/>
    <w:rsid w:val="00CC63E5"/>
    <w:rsid w:val="00CC69B5"/>
    <w:rsid w:val="00CC6CF6"/>
    <w:rsid w:val="00CC7F6B"/>
    <w:rsid w:val="00CD0572"/>
    <w:rsid w:val="00CD063E"/>
    <w:rsid w:val="00CD0D73"/>
    <w:rsid w:val="00CD123D"/>
    <w:rsid w:val="00CD137E"/>
    <w:rsid w:val="00CD13E5"/>
    <w:rsid w:val="00CD14C3"/>
    <w:rsid w:val="00CD1CC7"/>
    <w:rsid w:val="00CD1D38"/>
    <w:rsid w:val="00CD28C9"/>
    <w:rsid w:val="00CD32DB"/>
    <w:rsid w:val="00CD39A5"/>
    <w:rsid w:val="00CD3E68"/>
    <w:rsid w:val="00CD401A"/>
    <w:rsid w:val="00CD430E"/>
    <w:rsid w:val="00CD5B74"/>
    <w:rsid w:val="00CD6442"/>
    <w:rsid w:val="00CD6DD9"/>
    <w:rsid w:val="00CD7C2D"/>
    <w:rsid w:val="00CD7DAB"/>
    <w:rsid w:val="00CE1808"/>
    <w:rsid w:val="00CE2380"/>
    <w:rsid w:val="00CE24DB"/>
    <w:rsid w:val="00CE26A0"/>
    <w:rsid w:val="00CE2C53"/>
    <w:rsid w:val="00CE313C"/>
    <w:rsid w:val="00CE33D4"/>
    <w:rsid w:val="00CE3737"/>
    <w:rsid w:val="00CE37E0"/>
    <w:rsid w:val="00CE385C"/>
    <w:rsid w:val="00CE494B"/>
    <w:rsid w:val="00CE521A"/>
    <w:rsid w:val="00CE5439"/>
    <w:rsid w:val="00CE5710"/>
    <w:rsid w:val="00CE5882"/>
    <w:rsid w:val="00CE5E8C"/>
    <w:rsid w:val="00CE6029"/>
    <w:rsid w:val="00CE6EF1"/>
    <w:rsid w:val="00CE7926"/>
    <w:rsid w:val="00CE7BDB"/>
    <w:rsid w:val="00CF02CB"/>
    <w:rsid w:val="00CF2954"/>
    <w:rsid w:val="00CF2C9A"/>
    <w:rsid w:val="00CF2DE6"/>
    <w:rsid w:val="00CF308F"/>
    <w:rsid w:val="00CF3116"/>
    <w:rsid w:val="00CF3553"/>
    <w:rsid w:val="00CF3564"/>
    <w:rsid w:val="00CF485A"/>
    <w:rsid w:val="00CF49E7"/>
    <w:rsid w:val="00CF5147"/>
    <w:rsid w:val="00CF6989"/>
    <w:rsid w:val="00CF69D0"/>
    <w:rsid w:val="00CF6A7C"/>
    <w:rsid w:val="00CF6E70"/>
    <w:rsid w:val="00CF6ED8"/>
    <w:rsid w:val="00CF751A"/>
    <w:rsid w:val="00CF755E"/>
    <w:rsid w:val="00CF7737"/>
    <w:rsid w:val="00D00654"/>
    <w:rsid w:val="00D00E25"/>
    <w:rsid w:val="00D01F98"/>
    <w:rsid w:val="00D02132"/>
    <w:rsid w:val="00D02F51"/>
    <w:rsid w:val="00D04CC4"/>
    <w:rsid w:val="00D0553C"/>
    <w:rsid w:val="00D068C0"/>
    <w:rsid w:val="00D078A4"/>
    <w:rsid w:val="00D078AD"/>
    <w:rsid w:val="00D07992"/>
    <w:rsid w:val="00D10BCE"/>
    <w:rsid w:val="00D113FD"/>
    <w:rsid w:val="00D1143D"/>
    <w:rsid w:val="00D11A40"/>
    <w:rsid w:val="00D12352"/>
    <w:rsid w:val="00D127F8"/>
    <w:rsid w:val="00D131A0"/>
    <w:rsid w:val="00D1464F"/>
    <w:rsid w:val="00D14AA1"/>
    <w:rsid w:val="00D14F19"/>
    <w:rsid w:val="00D15051"/>
    <w:rsid w:val="00D15B3C"/>
    <w:rsid w:val="00D16CFB"/>
    <w:rsid w:val="00D17CF0"/>
    <w:rsid w:val="00D218A9"/>
    <w:rsid w:val="00D2259D"/>
    <w:rsid w:val="00D22FFC"/>
    <w:rsid w:val="00D23486"/>
    <w:rsid w:val="00D2349D"/>
    <w:rsid w:val="00D23D87"/>
    <w:rsid w:val="00D242ED"/>
    <w:rsid w:val="00D248F9"/>
    <w:rsid w:val="00D25833"/>
    <w:rsid w:val="00D263E7"/>
    <w:rsid w:val="00D27453"/>
    <w:rsid w:val="00D274D2"/>
    <w:rsid w:val="00D27605"/>
    <w:rsid w:val="00D30352"/>
    <w:rsid w:val="00D30C7E"/>
    <w:rsid w:val="00D33C30"/>
    <w:rsid w:val="00D35DFA"/>
    <w:rsid w:val="00D35E2A"/>
    <w:rsid w:val="00D35F31"/>
    <w:rsid w:val="00D37128"/>
    <w:rsid w:val="00D3726D"/>
    <w:rsid w:val="00D377E8"/>
    <w:rsid w:val="00D40DAE"/>
    <w:rsid w:val="00D4113C"/>
    <w:rsid w:val="00D41B17"/>
    <w:rsid w:val="00D41BE8"/>
    <w:rsid w:val="00D42860"/>
    <w:rsid w:val="00D429EF"/>
    <w:rsid w:val="00D43026"/>
    <w:rsid w:val="00D4332E"/>
    <w:rsid w:val="00D43675"/>
    <w:rsid w:val="00D439D3"/>
    <w:rsid w:val="00D43B52"/>
    <w:rsid w:val="00D44400"/>
    <w:rsid w:val="00D4485A"/>
    <w:rsid w:val="00D45118"/>
    <w:rsid w:val="00D451EA"/>
    <w:rsid w:val="00D45C0A"/>
    <w:rsid w:val="00D46131"/>
    <w:rsid w:val="00D46F4B"/>
    <w:rsid w:val="00D50218"/>
    <w:rsid w:val="00D508B1"/>
    <w:rsid w:val="00D52368"/>
    <w:rsid w:val="00D52401"/>
    <w:rsid w:val="00D5272B"/>
    <w:rsid w:val="00D529BC"/>
    <w:rsid w:val="00D5316F"/>
    <w:rsid w:val="00D53FBB"/>
    <w:rsid w:val="00D545F9"/>
    <w:rsid w:val="00D55442"/>
    <w:rsid w:val="00D554E0"/>
    <w:rsid w:val="00D5566B"/>
    <w:rsid w:val="00D55CBD"/>
    <w:rsid w:val="00D56E1E"/>
    <w:rsid w:val="00D56E6B"/>
    <w:rsid w:val="00D575FE"/>
    <w:rsid w:val="00D57730"/>
    <w:rsid w:val="00D57F1C"/>
    <w:rsid w:val="00D6014B"/>
    <w:rsid w:val="00D603CF"/>
    <w:rsid w:val="00D605DA"/>
    <w:rsid w:val="00D607E4"/>
    <w:rsid w:val="00D60ADD"/>
    <w:rsid w:val="00D60BBD"/>
    <w:rsid w:val="00D60DB6"/>
    <w:rsid w:val="00D61614"/>
    <w:rsid w:val="00D617E8"/>
    <w:rsid w:val="00D62072"/>
    <w:rsid w:val="00D6210C"/>
    <w:rsid w:val="00D623E6"/>
    <w:rsid w:val="00D62CDB"/>
    <w:rsid w:val="00D64064"/>
    <w:rsid w:val="00D648DB"/>
    <w:rsid w:val="00D6493C"/>
    <w:rsid w:val="00D64BC2"/>
    <w:rsid w:val="00D64D13"/>
    <w:rsid w:val="00D66A1F"/>
    <w:rsid w:val="00D66CF0"/>
    <w:rsid w:val="00D675BF"/>
    <w:rsid w:val="00D67C23"/>
    <w:rsid w:val="00D7018A"/>
    <w:rsid w:val="00D70AFB"/>
    <w:rsid w:val="00D7188F"/>
    <w:rsid w:val="00D72212"/>
    <w:rsid w:val="00D724AC"/>
    <w:rsid w:val="00D726F9"/>
    <w:rsid w:val="00D73108"/>
    <w:rsid w:val="00D737E7"/>
    <w:rsid w:val="00D738FA"/>
    <w:rsid w:val="00D73DCC"/>
    <w:rsid w:val="00D73FAE"/>
    <w:rsid w:val="00D7448D"/>
    <w:rsid w:val="00D7533D"/>
    <w:rsid w:val="00D7556A"/>
    <w:rsid w:val="00D755B6"/>
    <w:rsid w:val="00D7591F"/>
    <w:rsid w:val="00D75941"/>
    <w:rsid w:val="00D7594D"/>
    <w:rsid w:val="00D75C79"/>
    <w:rsid w:val="00D76274"/>
    <w:rsid w:val="00D76718"/>
    <w:rsid w:val="00D76E9F"/>
    <w:rsid w:val="00D76FE8"/>
    <w:rsid w:val="00D77109"/>
    <w:rsid w:val="00D8011B"/>
    <w:rsid w:val="00D80610"/>
    <w:rsid w:val="00D81F88"/>
    <w:rsid w:val="00D827BB"/>
    <w:rsid w:val="00D83A4B"/>
    <w:rsid w:val="00D83D66"/>
    <w:rsid w:val="00D83EC9"/>
    <w:rsid w:val="00D846F9"/>
    <w:rsid w:val="00D84C6B"/>
    <w:rsid w:val="00D85E89"/>
    <w:rsid w:val="00D86DB4"/>
    <w:rsid w:val="00D875C3"/>
    <w:rsid w:val="00D87718"/>
    <w:rsid w:val="00D87BA8"/>
    <w:rsid w:val="00D90859"/>
    <w:rsid w:val="00D90CB3"/>
    <w:rsid w:val="00D90F76"/>
    <w:rsid w:val="00D91CF2"/>
    <w:rsid w:val="00D923C3"/>
    <w:rsid w:val="00D92444"/>
    <w:rsid w:val="00D925C2"/>
    <w:rsid w:val="00D92A0D"/>
    <w:rsid w:val="00D92B9B"/>
    <w:rsid w:val="00D936EA"/>
    <w:rsid w:val="00D93C28"/>
    <w:rsid w:val="00D93DE6"/>
    <w:rsid w:val="00D9410C"/>
    <w:rsid w:val="00D94EDC"/>
    <w:rsid w:val="00D9541C"/>
    <w:rsid w:val="00D974B2"/>
    <w:rsid w:val="00D97B40"/>
    <w:rsid w:val="00DA0164"/>
    <w:rsid w:val="00DA0DD2"/>
    <w:rsid w:val="00DA12B1"/>
    <w:rsid w:val="00DA2470"/>
    <w:rsid w:val="00DA24D9"/>
    <w:rsid w:val="00DA25C5"/>
    <w:rsid w:val="00DA269E"/>
    <w:rsid w:val="00DA2F02"/>
    <w:rsid w:val="00DA3EFD"/>
    <w:rsid w:val="00DA4E5D"/>
    <w:rsid w:val="00DA5860"/>
    <w:rsid w:val="00DA5A1A"/>
    <w:rsid w:val="00DA650B"/>
    <w:rsid w:val="00DA730D"/>
    <w:rsid w:val="00DA749D"/>
    <w:rsid w:val="00DB1243"/>
    <w:rsid w:val="00DB2497"/>
    <w:rsid w:val="00DB2AB8"/>
    <w:rsid w:val="00DB2C17"/>
    <w:rsid w:val="00DB377D"/>
    <w:rsid w:val="00DB3B95"/>
    <w:rsid w:val="00DB3C6B"/>
    <w:rsid w:val="00DB40ED"/>
    <w:rsid w:val="00DB44F1"/>
    <w:rsid w:val="00DB4E74"/>
    <w:rsid w:val="00DB5B50"/>
    <w:rsid w:val="00DB5C05"/>
    <w:rsid w:val="00DB5E65"/>
    <w:rsid w:val="00DB600A"/>
    <w:rsid w:val="00DB634D"/>
    <w:rsid w:val="00DB6F8D"/>
    <w:rsid w:val="00DB7959"/>
    <w:rsid w:val="00DB7FAD"/>
    <w:rsid w:val="00DC02A4"/>
    <w:rsid w:val="00DC0DE7"/>
    <w:rsid w:val="00DC1530"/>
    <w:rsid w:val="00DC27E1"/>
    <w:rsid w:val="00DC2B6E"/>
    <w:rsid w:val="00DC3667"/>
    <w:rsid w:val="00DC366B"/>
    <w:rsid w:val="00DC36FE"/>
    <w:rsid w:val="00DC4567"/>
    <w:rsid w:val="00DC496B"/>
    <w:rsid w:val="00DC50C6"/>
    <w:rsid w:val="00DC5202"/>
    <w:rsid w:val="00DC54E3"/>
    <w:rsid w:val="00DC5D46"/>
    <w:rsid w:val="00DC63DE"/>
    <w:rsid w:val="00DC6665"/>
    <w:rsid w:val="00DC68F4"/>
    <w:rsid w:val="00DC7B03"/>
    <w:rsid w:val="00DC7B92"/>
    <w:rsid w:val="00DD00A2"/>
    <w:rsid w:val="00DD05ED"/>
    <w:rsid w:val="00DD0720"/>
    <w:rsid w:val="00DD25BC"/>
    <w:rsid w:val="00DD2FA3"/>
    <w:rsid w:val="00DD3E36"/>
    <w:rsid w:val="00DD49F5"/>
    <w:rsid w:val="00DD4BB2"/>
    <w:rsid w:val="00DD54CC"/>
    <w:rsid w:val="00DD5EDF"/>
    <w:rsid w:val="00DD755A"/>
    <w:rsid w:val="00DD79B4"/>
    <w:rsid w:val="00DE071F"/>
    <w:rsid w:val="00DE1031"/>
    <w:rsid w:val="00DE2F65"/>
    <w:rsid w:val="00DE3C4F"/>
    <w:rsid w:val="00DE41A2"/>
    <w:rsid w:val="00DE4C7A"/>
    <w:rsid w:val="00DE597C"/>
    <w:rsid w:val="00DE65D0"/>
    <w:rsid w:val="00DE65E9"/>
    <w:rsid w:val="00DE6E89"/>
    <w:rsid w:val="00DE74E9"/>
    <w:rsid w:val="00DE7796"/>
    <w:rsid w:val="00DE7C48"/>
    <w:rsid w:val="00DF0C8C"/>
    <w:rsid w:val="00DF0DAE"/>
    <w:rsid w:val="00DF127B"/>
    <w:rsid w:val="00DF2102"/>
    <w:rsid w:val="00DF21DC"/>
    <w:rsid w:val="00DF2BA1"/>
    <w:rsid w:val="00DF316F"/>
    <w:rsid w:val="00DF4005"/>
    <w:rsid w:val="00DF40D7"/>
    <w:rsid w:val="00DF4F86"/>
    <w:rsid w:val="00DF565F"/>
    <w:rsid w:val="00DF77CE"/>
    <w:rsid w:val="00E005D4"/>
    <w:rsid w:val="00E00D34"/>
    <w:rsid w:val="00E00E9E"/>
    <w:rsid w:val="00E013A9"/>
    <w:rsid w:val="00E013C6"/>
    <w:rsid w:val="00E01725"/>
    <w:rsid w:val="00E02803"/>
    <w:rsid w:val="00E02CD1"/>
    <w:rsid w:val="00E02F37"/>
    <w:rsid w:val="00E03CD2"/>
    <w:rsid w:val="00E045B3"/>
    <w:rsid w:val="00E04C64"/>
    <w:rsid w:val="00E054E3"/>
    <w:rsid w:val="00E0653F"/>
    <w:rsid w:val="00E0686E"/>
    <w:rsid w:val="00E07CC5"/>
    <w:rsid w:val="00E10DB7"/>
    <w:rsid w:val="00E10F06"/>
    <w:rsid w:val="00E10F19"/>
    <w:rsid w:val="00E118FB"/>
    <w:rsid w:val="00E12055"/>
    <w:rsid w:val="00E12FCC"/>
    <w:rsid w:val="00E130B0"/>
    <w:rsid w:val="00E133C2"/>
    <w:rsid w:val="00E13A17"/>
    <w:rsid w:val="00E13AB4"/>
    <w:rsid w:val="00E14258"/>
    <w:rsid w:val="00E1447B"/>
    <w:rsid w:val="00E151E2"/>
    <w:rsid w:val="00E15379"/>
    <w:rsid w:val="00E15E22"/>
    <w:rsid w:val="00E1725B"/>
    <w:rsid w:val="00E1731D"/>
    <w:rsid w:val="00E1783F"/>
    <w:rsid w:val="00E17F18"/>
    <w:rsid w:val="00E17FCE"/>
    <w:rsid w:val="00E2049E"/>
    <w:rsid w:val="00E20663"/>
    <w:rsid w:val="00E206F3"/>
    <w:rsid w:val="00E21721"/>
    <w:rsid w:val="00E21A38"/>
    <w:rsid w:val="00E22170"/>
    <w:rsid w:val="00E223C0"/>
    <w:rsid w:val="00E22E70"/>
    <w:rsid w:val="00E23367"/>
    <w:rsid w:val="00E24AF6"/>
    <w:rsid w:val="00E24B8B"/>
    <w:rsid w:val="00E25908"/>
    <w:rsid w:val="00E265FA"/>
    <w:rsid w:val="00E26ABC"/>
    <w:rsid w:val="00E27121"/>
    <w:rsid w:val="00E302AF"/>
    <w:rsid w:val="00E30341"/>
    <w:rsid w:val="00E3083D"/>
    <w:rsid w:val="00E30BA7"/>
    <w:rsid w:val="00E314BC"/>
    <w:rsid w:val="00E317E2"/>
    <w:rsid w:val="00E31C68"/>
    <w:rsid w:val="00E32625"/>
    <w:rsid w:val="00E32F88"/>
    <w:rsid w:val="00E33966"/>
    <w:rsid w:val="00E33B1C"/>
    <w:rsid w:val="00E35C6C"/>
    <w:rsid w:val="00E36AB3"/>
    <w:rsid w:val="00E36AEA"/>
    <w:rsid w:val="00E4036D"/>
    <w:rsid w:val="00E4172E"/>
    <w:rsid w:val="00E41802"/>
    <w:rsid w:val="00E4319C"/>
    <w:rsid w:val="00E43942"/>
    <w:rsid w:val="00E43B8D"/>
    <w:rsid w:val="00E43BEC"/>
    <w:rsid w:val="00E43F7B"/>
    <w:rsid w:val="00E4453D"/>
    <w:rsid w:val="00E4553D"/>
    <w:rsid w:val="00E5042A"/>
    <w:rsid w:val="00E511E8"/>
    <w:rsid w:val="00E51B5A"/>
    <w:rsid w:val="00E5381E"/>
    <w:rsid w:val="00E544AF"/>
    <w:rsid w:val="00E547F0"/>
    <w:rsid w:val="00E54C3D"/>
    <w:rsid w:val="00E54C41"/>
    <w:rsid w:val="00E550D6"/>
    <w:rsid w:val="00E55C5B"/>
    <w:rsid w:val="00E5600B"/>
    <w:rsid w:val="00E566A2"/>
    <w:rsid w:val="00E56FEC"/>
    <w:rsid w:val="00E57B1F"/>
    <w:rsid w:val="00E57C2D"/>
    <w:rsid w:val="00E57EA9"/>
    <w:rsid w:val="00E60180"/>
    <w:rsid w:val="00E61603"/>
    <w:rsid w:val="00E62005"/>
    <w:rsid w:val="00E62687"/>
    <w:rsid w:val="00E62B30"/>
    <w:rsid w:val="00E62D88"/>
    <w:rsid w:val="00E632CD"/>
    <w:rsid w:val="00E63BFB"/>
    <w:rsid w:val="00E63FC3"/>
    <w:rsid w:val="00E64089"/>
    <w:rsid w:val="00E64751"/>
    <w:rsid w:val="00E647A2"/>
    <w:rsid w:val="00E649E7"/>
    <w:rsid w:val="00E64F81"/>
    <w:rsid w:val="00E660AD"/>
    <w:rsid w:val="00E66704"/>
    <w:rsid w:val="00E66A85"/>
    <w:rsid w:val="00E67845"/>
    <w:rsid w:val="00E718C3"/>
    <w:rsid w:val="00E7208F"/>
    <w:rsid w:val="00E7265A"/>
    <w:rsid w:val="00E72672"/>
    <w:rsid w:val="00E735FF"/>
    <w:rsid w:val="00E73B56"/>
    <w:rsid w:val="00E745B0"/>
    <w:rsid w:val="00E75553"/>
    <w:rsid w:val="00E76095"/>
    <w:rsid w:val="00E76724"/>
    <w:rsid w:val="00E76882"/>
    <w:rsid w:val="00E76C5E"/>
    <w:rsid w:val="00E76D04"/>
    <w:rsid w:val="00E77131"/>
    <w:rsid w:val="00E7738B"/>
    <w:rsid w:val="00E77760"/>
    <w:rsid w:val="00E8028F"/>
    <w:rsid w:val="00E80F5E"/>
    <w:rsid w:val="00E8145A"/>
    <w:rsid w:val="00E823B6"/>
    <w:rsid w:val="00E83E89"/>
    <w:rsid w:val="00E84232"/>
    <w:rsid w:val="00E84263"/>
    <w:rsid w:val="00E84592"/>
    <w:rsid w:val="00E84FB3"/>
    <w:rsid w:val="00E8646E"/>
    <w:rsid w:val="00E86D61"/>
    <w:rsid w:val="00E86E89"/>
    <w:rsid w:val="00E8724E"/>
    <w:rsid w:val="00E873BE"/>
    <w:rsid w:val="00E90BFA"/>
    <w:rsid w:val="00E912E8"/>
    <w:rsid w:val="00E914AB"/>
    <w:rsid w:val="00E91815"/>
    <w:rsid w:val="00E92338"/>
    <w:rsid w:val="00E92776"/>
    <w:rsid w:val="00E932FE"/>
    <w:rsid w:val="00E9349E"/>
    <w:rsid w:val="00E9371B"/>
    <w:rsid w:val="00E94078"/>
    <w:rsid w:val="00E946FB"/>
    <w:rsid w:val="00E94B4E"/>
    <w:rsid w:val="00E94E10"/>
    <w:rsid w:val="00E9532B"/>
    <w:rsid w:val="00E96307"/>
    <w:rsid w:val="00E9643C"/>
    <w:rsid w:val="00E965D7"/>
    <w:rsid w:val="00EA0C40"/>
    <w:rsid w:val="00EA1620"/>
    <w:rsid w:val="00EA2451"/>
    <w:rsid w:val="00EA4843"/>
    <w:rsid w:val="00EA5CBE"/>
    <w:rsid w:val="00EA618A"/>
    <w:rsid w:val="00EA634F"/>
    <w:rsid w:val="00EA64A6"/>
    <w:rsid w:val="00EA693F"/>
    <w:rsid w:val="00EA7010"/>
    <w:rsid w:val="00EA7A91"/>
    <w:rsid w:val="00EB07FD"/>
    <w:rsid w:val="00EB0A09"/>
    <w:rsid w:val="00EB0A76"/>
    <w:rsid w:val="00EB0B93"/>
    <w:rsid w:val="00EB0C11"/>
    <w:rsid w:val="00EB11C2"/>
    <w:rsid w:val="00EB1735"/>
    <w:rsid w:val="00EB1853"/>
    <w:rsid w:val="00EB24A5"/>
    <w:rsid w:val="00EB258D"/>
    <w:rsid w:val="00EB2853"/>
    <w:rsid w:val="00EB3A91"/>
    <w:rsid w:val="00EB467E"/>
    <w:rsid w:val="00EB5133"/>
    <w:rsid w:val="00EB527D"/>
    <w:rsid w:val="00EB5632"/>
    <w:rsid w:val="00EB5FF8"/>
    <w:rsid w:val="00EB77BE"/>
    <w:rsid w:val="00EB7F71"/>
    <w:rsid w:val="00EC0017"/>
    <w:rsid w:val="00EC019D"/>
    <w:rsid w:val="00EC04FF"/>
    <w:rsid w:val="00EC0C69"/>
    <w:rsid w:val="00EC0E28"/>
    <w:rsid w:val="00EC1C64"/>
    <w:rsid w:val="00EC1ECA"/>
    <w:rsid w:val="00EC348C"/>
    <w:rsid w:val="00EC34CF"/>
    <w:rsid w:val="00EC35E7"/>
    <w:rsid w:val="00EC372D"/>
    <w:rsid w:val="00EC3816"/>
    <w:rsid w:val="00EC3AF2"/>
    <w:rsid w:val="00EC61C8"/>
    <w:rsid w:val="00EC649D"/>
    <w:rsid w:val="00EC749C"/>
    <w:rsid w:val="00EC7E2D"/>
    <w:rsid w:val="00EC7E70"/>
    <w:rsid w:val="00ED034E"/>
    <w:rsid w:val="00ED03EA"/>
    <w:rsid w:val="00ED084D"/>
    <w:rsid w:val="00ED0998"/>
    <w:rsid w:val="00ED0BEF"/>
    <w:rsid w:val="00ED0DBB"/>
    <w:rsid w:val="00ED10AC"/>
    <w:rsid w:val="00ED1C8A"/>
    <w:rsid w:val="00ED2608"/>
    <w:rsid w:val="00ED3E37"/>
    <w:rsid w:val="00ED4996"/>
    <w:rsid w:val="00ED4E06"/>
    <w:rsid w:val="00ED535F"/>
    <w:rsid w:val="00ED541B"/>
    <w:rsid w:val="00ED735C"/>
    <w:rsid w:val="00ED7D18"/>
    <w:rsid w:val="00EE1124"/>
    <w:rsid w:val="00EE1CF3"/>
    <w:rsid w:val="00EE20F9"/>
    <w:rsid w:val="00EE271D"/>
    <w:rsid w:val="00EE3EF9"/>
    <w:rsid w:val="00EE4691"/>
    <w:rsid w:val="00EE4C17"/>
    <w:rsid w:val="00EE4DA1"/>
    <w:rsid w:val="00EE56E0"/>
    <w:rsid w:val="00EE58A8"/>
    <w:rsid w:val="00EE5D4F"/>
    <w:rsid w:val="00EE6029"/>
    <w:rsid w:val="00EE63C6"/>
    <w:rsid w:val="00EE699E"/>
    <w:rsid w:val="00EE71B3"/>
    <w:rsid w:val="00EE73D0"/>
    <w:rsid w:val="00EF00CE"/>
    <w:rsid w:val="00EF0354"/>
    <w:rsid w:val="00EF058C"/>
    <w:rsid w:val="00EF06CB"/>
    <w:rsid w:val="00EF0817"/>
    <w:rsid w:val="00EF0D4E"/>
    <w:rsid w:val="00EF0E2A"/>
    <w:rsid w:val="00EF12B9"/>
    <w:rsid w:val="00EF13CD"/>
    <w:rsid w:val="00EF281C"/>
    <w:rsid w:val="00EF383A"/>
    <w:rsid w:val="00EF42A6"/>
    <w:rsid w:val="00EF4C44"/>
    <w:rsid w:val="00EF4FB8"/>
    <w:rsid w:val="00EF506A"/>
    <w:rsid w:val="00EF50E9"/>
    <w:rsid w:val="00EF579E"/>
    <w:rsid w:val="00EF6DC0"/>
    <w:rsid w:val="00EF6E69"/>
    <w:rsid w:val="00EF7DDA"/>
    <w:rsid w:val="00F00030"/>
    <w:rsid w:val="00F002B8"/>
    <w:rsid w:val="00F014BF"/>
    <w:rsid w:val="00F01534"/>
    <w:rsid w:val="00F016C4"/>
    <w:rsid w:val="00F01840"/>
    <w:rsid w:val="00F018C2"/>
    <w:rsid w:val="00F02928"/>
    <w:rsid w:val="00F038E3"/>
    <w:rsid w:val="00F03DB3"/>
    <w:rsid w:val="00F051B5"/>
    <w:rsid w:val="00F0571B"/>
    <w:rsid w:val="00F0597D"/>
    <w:rsid w:val="00F05B42"/>
    <w:rsid w:val="00F076DF"/>
    <w:rsid w:val="00F101C9"/>
    <w:rsid w:val="00F10360"/>
    <w:rsid w:val="00F103A3"/>
    <w:rsid w:val="00F1089C"/>
    <w:rsid w:val="00F10DE5"/>
    <w:rsid w:val="00F10FBC"/>
    <w:rsid w:val="00F111C2"/>
    <w:rsid w:val="00F115F7"/>
    <w:rsid w:val="00F11605"/>
    <w:rsid w:val="00F119F6"/>
    <w:rsid w:val="00F11FF9"/>
    <w:rsid w:val="00F12358"/>
    <w:rsid w:val="00F134EA"/>
    <w:rsid w:val="00F139EE"/>
    <w:rsid w:val="00F13B3A"/>
    <w:rsid w:val="00F142AC"/>
    <w:rsid w:val="00F1455B"/>
    <w:rsid w:val="00F14D42"/>
    <w:rsid w:val="00F1651F"/>
    <w:rsid w:val="00F16B08"/>
    <w:rsid w:val="00F17066"/>
    <w:rsid w:val="00F17388"/>
    <w:rsid w:val="00F20548"/>
    <w:rsid w:val="00F208AA"/>
    <w:rsid w:val="00F208FC"/>
    <w:rsid w:val="00F21246"/>
    <w:rsid w:val="00F22EFA"/>
    <w:rsid w:val="00F23DFF"/>
    <w:rsid w:val="00F24787"/>
    <w:rsid w:val="00F24DC2"/>
    <w:rsid w:val="00F252C0"/>
    <w:rsid w:val="00F2576D"/>
    <w:rsid w:val="00F257B9"/>
    <w:rsid w:val="00F25C0C"/>
    <w:rsid w:val="00F269FD"/>
    <w:rsid w:val="00F26D10"/>
    <w:rsid w:val="00F30445"/>
    <w:rsid w:val="00F30782"/>
    <w:rsid w:val="00F30DBC"/>
    <w:rsid w:val="00F31675"/>
    <w:rsid w:val="00F3209E"/>
    <w:rsid w:val="00F32108"/>
    <w:rsid w:val="00F321CA"/>
    <w:rsid w:val="00F34C97"/>
    <w:rsid w:val="00F35BC0"/>
    <w:rsid w:val="00F36231"/>
    <w:rsid w:val="00F36BDC"/>
    <w:rsid w:val="00F377A9"/>
    <w:rsid w:val="00F37D12"/>
    <w:rsid w:val="00F4056D"/>
    <w:rsid w:val="00F42D4D"/>
    <w:rsid w:val="00F42DBA"/>
    <w:rsid w:val="00F42EBA"/>
    <w:rsid w:val="00F42F06"/>
    <w:rsid w:val="00F43367"/>
    <w:rsid w:val="00F44753"/>
    <w:rsid w:val="00F44C55"/>
    <w:rsid w:val="00F457B2"/>
    <w:rsid w:val="00F4590A"/>
    <w:rsid w:val="00F4598A"/>
    <w:rsid w:val="00F460C3"/>
    <w:rsid w:val="00F46E58"/>
    <w:rsid w:val="00F473C5"/>
    <w:rsid w:val="00F47D6A"/>
    <w:rsid w:val="00F503E0"/>
    <w:rsid w:val="00F504DE"/>
    <w:rsid w:val="00F5057B"/>
    <w:rsid w:val="00F5172B"/>
    <w:rsid w:val="00F518F6"/>
    <w:rsid w:val="00F51E15"/>
    <w:rsid w:val="00F52CEB"/>
    <w:rsid w:val="00F52F10"/>
    <w:rsid w:val="00F5356D"/>
    <w:rsid w:val="00F53780"/>
    <w:rsid w:val="00F537DF"/>
    <w:rsid w:val="00F545AF"/>
    <w:rsid w:val="00F556E5"/>
    <w:rsid w:val="00F56CEA"/>
    <w:rsid w:val="00F57906"/>
    <w:rsid w:val="00F57D23"/>
    <w:rsid w:val="00F60256"/>
    <w:rsid w:val="00F60853"/>
    <w:rsid w:val="00F61249"/>
    <w:rsid w:val="00F614CC"/>
    <w:rsid w:val="00F61882"/>
    <w:rsid w:val="00F61883"/>
    <w:rsid w:val="00F62BC5"/>
    <w:rsid w:val="00F6372A"/>
    <w:rsid w:val="00F63FD8"/>
    <w:rsid w:val="00F64632"/>
    <w:rsid w:val="00F648A2"/>
    <w:rsid w:val="00F64936"/>
    <w:rsid w:val="00F65010"/>
    <w:rsid w:val="00F65813"/>
    <w:rsid w:val="00F66924"/>
    <w:rsid w:val="00F7138D"/>
    <w:rsid w:val="00F7185F"/>
    <w:rsid w:val="00F71C10"/>
    <w:rsid w:val="00F7204D"/>
    <w:rsid w:val="00F72298"/>
    <w:rsid w:val="00F726AA"/>
    <w:rsid w:val="00F74047"/>
    <w:rsid w:val="00F74C36"/>
    <w:rsid w:val="00F74FB1"/>
    <w:rsid w:val="00F75D06"/>
    <w:rsid w:val="00F768F1"/>
    <w:rsid w:val="00F7755E"/>
    <w:rsid w:val="00F778C9"/>
    <w:rsid w:val="00F80E43"/>
    <w:rsid w:val="00F8115E"/>
    <w:rsid w:val="00F81D1F"/>
    <w:rsid w:val="00F81F15"/>
    <w:rsid w:val="00F827F2"/>
    <w:rsid w:val="00F833E3"/>
    <w:rsid w:val="00F838E2"/>
    <w:rsid w:val="00F83E43"/>
    <w:rsid w:val="00F84CEC"/>
    <w:rsid w:val="00F8551C"/>
    <w:rsid w:val="00F8560F"/>
    <w:rsid w:val="00F85B16"/>
    <w:rsid w:val="00F85DAB"/>
    <w:rsid w:val="00F860B1"/>
    <w:rsid w:val="00F865DD"/>
    <w:rsid w:val="00F86647"/>
    <w:rsid w:val="00F86F2F"/>
    <w:rsid w:val="00F86FB2"/>
    <w:rsid w:val="00F87356"/>
    <w:rsid w:val="00F875DF"/>
    <w:rsid w:val="00F87670"/>
    <w:rsid w:val="00F87F64"/>
    <w:rsid w:val="00F90894"/>
    <w:rsid w:val="00F90F27"/>
    <w:rsid w:val="00F91C27"/>
    <w:rsid w:val="00F91D29"/>
    <w:rsid w:val="00F91D94"/>
    <w:rsid w:val="00F91E45"/>
    <w:rsid w:val="00F94997"/>
    <w:rsid w:val="00F94CED"/>
    <w:rsid w:val="00F953EA"/>
    <w:rsid w:val="00F9563D"/>
    <w:rsid w:val="00F95E7C"/>
    <w:rsid w:val="00F96203"/>
    <w:rsid w:val="00F974E9"/>
    <w:rsid w:val="00F9790C"/>
    <w:rsid w:val="00F97A89"/>
    <w:rsid w:val="00F97C62"/>
    <w:rsid w:val="00F97DB2"/>
    <w:rsid w:val="00FA0C9A"/>
    <w:rsid w:val="00FA2BCD"/>
    <w:rsid w:val="00FA3143"/>
    <w:rsid w:val="00FA344A"/>
    <w:rsid w:val="00FA3DB7"/>
    <w:rsid w:val="00FA3F34"/>
    <w:rsid w:val="00FA4672"/>
    <w:rsid w:val="00FA467A"/>
    <w:rsid w:val="00FA4A6A"/>
    <w:rsid w:val="00FA4B1B"/>
    <w:rsid w:val="00FA6038"/>
    <w:rsid w:val="00FA6313"/>
    <w:rsid w:val="00FA7BF1"/>
    <w:rsid w:val="00FB0ECB"/>
    <w:rsid w:val="00FB14CA"/>
    <w:rsid w:val="00FB17D8"/>
    <w:rsid w:val="00FB261C"/>
    <w:rsid w:val="00FB2EA9"/>
    <w:rsid w:val="00FB2F4A"/>
    <w:rsid w:val="00FB33B4"/>
    <w:rsid w:val="00FB460B"/>
    <w:rsid w:val="00FB471F"/>
    <w:rsid w:val="00FB4C1F"/>
    <w:rsid w:val="00FB4E55"/>
    <w:rsid w:val="00FB570D"/>
    <w:rsid w:val="00FB6B91"/>
    <w:rsid w:val="00FB736D"/>
    <w:rsid w:val="00FB7663"/>
    <w:rsid w:val="00FB7699"/>
    <w:rsid w:val="00FC101C"/>
    <w:rsid w:val="00FC10AD"/>
    <w:rsid w:val="00FC1187"/>
    <w:rsid w:val="00FC2905"/>
    <w:rsid w:val="00FC3151"/>
    <w:rsid w:val="00FC46E6"/>
    <w:rsid w:val="00FC61E2"/>
    <w:rsid w:val="00FC6231"/>
    <w:rsid w:val="00FC636D"/>
    <w:rsid w:val="00FC64DA"/>
    <w:rsid w:val="00FC7097"/>
    <w:rsid w:val="00FC7272"/>
    <w:rsid w:val="00FC7896"/>
    <w:rsid w:val="00FD0898"/>
    <w:rsid w:val="00FD0AF8"/>
    <w:rsid w:val="00FD149E"/>
    <w:rsid w:val="00FD19CB"/>
    <w:rsid w:val="00FD230A"/>
    <w:rsid w:val="00FD31E5"/>
    <w:rsid w:val="00FD49B2"/>
    <w:rsid w:val="00FD4ECE"/>
    <w:rsid w:val="00FD536B"/>
    <w:rsid w:val="00FD644D"/>
    <w:rsid w:val="00FD671C"/>
    <w:rsid w:val="00FD7049"/>
    <w:rsid w:val="00FD7D51"/>
    <w:rsid w:val="00FE04B2"/>
    <w:rsid w:val="00FE0762"/>
    <w:rsid w:val="00FE13F4"/>
    <w:rsid w:val="00FE2AC2"/>
    <w:rsid w:val="00FE2F28"/>
    <w:rsid w:val="00FE32C1"/>
    <w:rsid w:val="00FE3B8F"/>
    <w:rsid w:val="00FE3D4A"/>
    <w:rsid w:val="00FE4841"/>
    <w:rsid w:val="00FE50BF"/>
    <w:rsid w:val="00FE5707"/>
    <w:rsid w:val="00FE6250"/>
    <w:rsid w:val="00FE62EC"/>
    <w:rsid w:val="00FE6D1D"/>
    <w:rsid w:val="00FE70E6"/>
    <w:rsid w:val="00FF0850"/>
    <w:rsid w:val="00FF0B8F"/>
    <w:rsid w:val="00FF133D"/>
    <w:rsid w:val="00FF1AFD"/>
    <w:rsid w:val="00FF225D"/>
    <w:rsid w:val="00FF250F"/>
    <w:rsid w:val="00FF290E"/>
    <w:rsid w:val="00FF3047"/>
    <w:rsid w:val="00FF3316"/>
    <w:rsid w:val="00FF48FA"/>
    <w:rsid w:val="00FF521E"/>
    <w:rsid w:val="00FF58AE"/>
    <w:rsid w:val="00FF5C3E"/>
    <w:rsid w:val="00FF6719"/>
    <w:rsid w:val="00FF683A"/>
    <w:rsid w:val="00FF6F0B"/>
    <w:rsid w:val="00FF6F18"/>
    <w:rsid w:val="00FF7282"/>
    <w:rsid w:val="03042AD7"/>
    <w:rsid w:val="0A40086F"/>
    <w:rsid w:val="0B2ED408"/>
    <w:rsid w:val="0C49BD8A"/>
    <w:rsid w:val="0D0C5D3A"/>
    <w:rsid w:val="0FF8FE41"/>
    <w:rsid w:val="106989CA"/>
    <w:rsid w:val="11AA6032"/>
    <w:rsid w:val="11D99C03"/>
    <w:rsid w:val="123AAFBA"/>
    <w:rsid w:val="127DC5DA"/>
    <w:rsid w:val="150E4464"/>
    <w:rsid w:val="18585598"/>
    <w:rsid w:val="19E1C9A1"/>
    <w:rsid w:val="2232CE78"/>
    <w:rsid w:val="24AB0E8C"/>
    <w:rsid w:val="2601E0DC"/>
    <w:rsid w:val="27D0A349"/>
    <w:rsid w:val="29DB0B5A"/>
    <w:rsid w:val="2C38BCC6"/>
    <w:rsid w:val="30318B0F"/>
    <w:rsid w:val="30C146D0"/>
    <w:rsid w:val="32D01E25"/>
    <w:rsid w:val="35AF9112"/>
    <w:rsid w:val="360BDA48"/>
    <w:rsid w:val="3BB8ED45"/>
    <w:rsid w:val="3CE8C164"/>
    <w:rsid w:val="3DE5DB8D"/>
    <w:rsid w:val="42E0523C"/>
    <w:rsid w:val="4A7A7115"/>
    <w:rsid w:val="50876010"/>
    <w:rsid w:val="531CD34B"/>
    <w:rsid w:val="54D61246"/>
    <w:rsid w:val="56F98401"/>
    <w:rsid w:val="580DC199"/>
    <w:rsid w:val="582E8A56"/>
    <w:rsid w:val="591C81F6"/>
    <w:rsid w:val="5A532A05"/>
    <w:rsid w:val="6AE0B5C2"/>
    <w:rsid w:val="6E63CAED"/>
    <w:rsid w:val="71843E6E"/>
    <w:rsid w:val="73320262"/>
    <w:rsid w:val="795A3113"/>
    <w:rsid w:val="7C07A5A2"/>
    <w:rsid w:val="7F8B3812"/>
    <w:rsid w:val="7FD47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FAE3D"/>
  <w15:chartTrackingRefBased/>
  <w15:docId w15:val="{9F028013-FF8E-4E2F-A93C-FED3972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C90"/>
    <w:pPr>
      <w:suppressAutoHyphens/>
      <w:spacing w:after="40"/>
    </w:pPr>
    <w:rPr>
      <w:sz w:val="24"/>
    </w:rPr>
  </w:style>
  <w:style w:type="paragraph" w:styleId="Heading1">
    <w:name w:val="heading 1"/>
    <w:basedOn w:val="PlainText"/>
    <w:next w:val="Normal"/>
    <w:link w:val="Heading1Char"/>
    <w:qFormat/>
    <w:rsid w:val="00B05C90"/>
    <w:pPr>
      <w:keepNext/>
      <w:tabs>
        <w:tab w:val="left" w:pos="720"/>
      </w:tabs>
      <w:spacing w:before="40" w:after="0"/>
      <w:outlineLvl w:val="0"/>
    </w:pPr>
    <w:rPr>
      <w:rFonts w:ascii="Calibri" w:hAnsi="Calibri" w:cs="Times New Roman"/>
      <w:b/>
      <w:sz w:val="28"/>
      <w:szCs w:val="24"/>
    </w:rPr>
  </w:style>
  <w:style w:type="paragraph" w:styleId="Heading2">
    <w:name w:val="heading 2"/>
    <w:basedOn w:val="Normal"/>
    <w:next w:val="Normal"/>
    <w:link w:val="Heading2Char"/>
    <w:qFormat/>
    <w:rsid w:val="00F4056D"/>
    <w:pPr>
      <w:keepNext/>
      <w:suppressAutoHyphens w:val="0"/>
      <w:spacing w:before="40" w:after="0"/>
      <w:outlineLvl w:val="1"/>
    </w:pPr>
    <w:rPr>
      <w:b/>
      <w:caps/>
      <w:color w:val="007DA4" w:themeColor="accent3"/>
      <w:szCs w:val="24"/>
    </w:rPr>
  </w:style>
  <w:style w:type="paragraph" w:styleId="Heading3">
    <w:name w:val="heading 3"/>
    <w:basedOn w:val="Normal"/>
    <w:next w:val="Normal"/>
    <w:link w:val="Heading3Char"/>
    <w:qFormat/>
    <w:rsid w:val="00F4056D"/>
    <w:pPr>
      <w:keepNext/>
      <w:suppressAutoHyphens w:val="0"/>
      <w:spacing w:before="40" w:after="0"/>
      <w:outlineLvl w:val="2"/>
    </w:pPr>
    <w:rPr>
      <w:b/>
      <w:color w:val="007DA4" w:themeColor="accent3"/>
      <w:szCs w:val="24"/>
    </w:rPr>
  </w:style>
  <w:style w:type="paragraph" w:styleId="Heading4">
    <w:name w:val="heading 4"/>
    <w:basedOn w:val="Normal"/>
    <w:next w:val="Normal"/>
    <w:link w:val="Heading4Char"/>
    <w:unhideWhenUsed/>
    <w:qFormat/>
    <w:rsid w:val="00FD19CB"/>
    <w:pPr>
      <w:keepNext/>
      <w:spacing w:before="40"/>
      <w:outlineLvl w:val="3"/>
    </w:pPr>
    <w:rPr>
      <w:i/>
      <w:iCs/>
      <w:color w:val="007DA4" w:themeColor="accent3"/>
    </w:rPr>
  </w:style>
  <w:style w:type="paragraph" w:styleId="Heading5">
    <w:name w:val="heading 5"/>
    <w:basedOn w:val="ListParagraph"/>
    <w:next w:val="Normal"/>
    <w:link w:val="Heading5Char"/>
    <w:unhideWhenUsed/>
    <w:qFormat/>
    <w:rsid w:val="00FD19CB"/>
    <w:pPr>
      <w:keepNext/>
      <w:spacing w:before="40" w:after="40"/>
      <w:ind w:left="0"/>
      <w:contextualSpacing w:val="0"/>
      <w:outlineLvl w:val="4"/>
    </w:pPr>
    <w:rPr>
      <w:color w:val="007DA4" w:themeColor="accent3"/>
      <w:u w:val="single"/>
    </w:rPr>
  </w:style>
  <w:style w:type="paragraph" w:styleId="Heading6">
    <w:name w:val="heading 6"/>
    <w:basedOn w:val="Normal"/>
    <w:next w:val="Normal"/>
    <w:link w:val="Heading6Char"/>
    <w:unhideWhenUsed/>
    <w:qFormat/>
    <w:rsid w:val="00FD19CB"/>
    <w:pPr>
      <w:suppressAutoHyphens w:val="0"/>
      <w:jc w:val="center"/>
      <w:outlineLvl w:val="5"/>
    </w:pPr>
    <w:rPr>
      <w:i/>
      <w:color w:val="165C7D" w:themeColor="accent5"/>
    </w:rPr>
  </w:style>
  <w:style w:type="paragraph" w:styleId="Heading7">
    <w:name w:val="heading 7"/>
    <w:basedOn w:val="Normal"/>
    <w:next w:val="Normal"/>
    <w:link w:val="Heading7Char"/>
    <w:unhideWhenUsed/>
    <w:rsid w:val="00737D7B"/>
    <w:pPr>
      <w:suppressAutoHyphens w:val="0"/>
      <w:outlineLvl w:val="6"/>
    </w:pPr>
    <w:rPr>
      <w:b/>
    </w:rPr>
  </w:style>
  <w:style w:type="paragraph" w:styleId="Heading8">
    <w:name w:val="heading 8"/>
    <w:basedOn w:val="Normal"/>
    <w:next w:val="Normal"/>
    <w:link w:val="Heading8Char"/>
    <w:unhideWhenUsed/>
    <w:rsid w:val="00737D7B"/>
    <w:pPr>
      <w:suppressAutoHyphens w:val="0"/>
      <w:outlineLvl w:val="7"/>
    </w:pPr>
    <w:rPr>
      <w:b/>
      <w:i/>
    </w:rPr>
  </w:style>
  <w:style w:type="paragraph" w:styleId="Heading9">
    <w:name w:val="heading 9"/>
    <w:basedOn w:val="Normal"/>
    <w:next w:val="Normal"/>
    <w:link w:val="Heading9Char"/>
    <w:unhideWhenUsed/>
    <w:rsid w:val="00737D7B"/>
    <w:pPr>
      <w:suppressAutoHyphens w:val="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C90"/>
    <w:rPr>
      <w:rFonts w:ascii="Calibri" w:hAnsi="Calibri"/>
      <w:b/>
      <w:sz w:val="28"/>
      <w:szCs w:val="24"/>
    </w:rPr>
  </w:style>
  <w:style w:type="character" w:customStyle="1" w:styleId="Heading2Char">
    <w:name w:val="Heading 2 Char"/>
    <w:basedOn w:val="DefaultParagraphFont"/>
    <w:link w:val="Heading2"/>
    <w:rsid w:val="00F4056D"/>
    <w:rPr>
      <w:b/>
      <w:caps/>
      <w:color w:val="007DA4" w:themeColor="accent3"/>
      <w:sz w:val="24"/>
      <w:szCs w:val="24"/>
    </w:rPr>
  </w:style>
  <w:style w:type="character" w:customStyle="1" w:styleId="Heading3Char">
    <w:name w:val="Heading 3 Char"/>
    <w:basedOn w:val="DefaultParagraphFont"/>
    <w:link w:val="Heading3"/>
    <w:rsid w:val="00F4056D"/>
    <w:rPr>
      <w:b/>
      <w:color w:val="007DA4" w:themeColor="accent3"/>
      <w:sz w:val="24"/>
      <w:szCs w:val="24"/>
    </w:rPr>
  </w:style>
  <w:style w:type="character" w:customStyle="1" w:styleId="Heading4Char">
    <w:name w:val="Heading 4 Char"/>
    <w:basedOn w:val="DefaultParagraphFont"/>
    <w:link w:val="Heading4"/>
    <w:rsid w:val="00FD19CB"/>
    <w:rPr>
      <w:i/>
      <w:iCs/>
      <w:color w:val="007DA4" w:themeColor="accent3"/>
      <w:sz w:val="24"/>
    </w:rPr>
  </w:style>
  <w:style w:type="paragraph" w:styleId="NoSpacing">
    <w:name w:val="No Spacing"/>
    <w:uiPriority w:val="1"/>
    <w:rsid w:val="00737D7B"/>
    <w:pPr>
      <w:suppressAutoHyphens/>
      <w:jc w:val="both"/>
    </w:pPr>
  </w:style>
  <w:style w:type="paragraph" w:customStyle="1" w:styleId="NumberList">
    <w:name w:val="Number List"/>
    <w:basedOn w:val="Normal"/>
    <w:rsid w:val="00737D7B"/>
    <w:pPr>
      <w:numPr>
        <w:numId w:val="1"/>
      </w:numPr>
      <w:tabs>
        <w:tab w:val="num" w:pos="360"/>
      </w:tabs>
      <w:ind w:left="0" w:firstLine="0"/>
    </w:pPr>
  </w:style>
  <w:style w:type="numbering" w:customStyle="1" w:styleId="HABullets">
    <w:name w:val="HA Bullets"/>
    <w:uiPriority w:val="99"/>
    <w:rsid w:val="00737D7B"/>
    <w:pPr>
      <w:numPr>
        <w:numId w:val="4"/>
      </w:numPr>
    </w:pPr>
  </w:style>
  <w:style w:type="paragraph" w:customStyle="1" w:styleId="ccEnclosure">
    <w:name w:val="cc:/Enclosure"/>
    <w:basedOn w:val="Normal"/>
    <w:rsid w:val="00737D7B"/>
    <w:pPr>
      <w:tabs>
        <w:tab w:val="left" w:pos="1440"/>
      </w:tabs>
      <w:suppressAutoHyphens w:val="0"/>
      <w:spacing w:before="240" w:after="240"/>
      <w:ind w:left="1440" w:hanging="1440"/>
    </w:pPr>
  </w:style>
  <w:style w:type="paragraph" w:customStyle="1" w:styleId="Subject">
    <w:name w:val="Subject"/>
    <w:basedOn w:val="NormalWeb"/>
    <w:unhideWhenUsed/>
    <w:rsid w:val="00737D7B"/>
    <w:pPr>
      <w:ind w:left="1440" w:hanging="1440"/>
    </w:pPr>
    <w:rPr>
      <w:sz w:val="22"/>
    </w:rPr>
  </w:style>
  <w:style w:type="paragraph" w:customStyle="1" w:styleId="pathname">
    <w:name w:val="pathname"/>
    <w:basedOn w:val="Normal"/>
    <w:next w:val="Normal"/>
    <w:rsid w:val="00737D7B"/>
    <w:rPr>
      <w:sz w:val="18"/>
    </w:rPr>
  </w:style>
  <w:style w:type="paragraph" w:styleId="NormalWeb">
    <w:name w:val="Normal (Web)"/>
    <w:basedOn w:val="Normal"/>
    <w:uiPriority w:val="99"/>
    <w:semiHidden/>
    <w:unhideWhenUsed/>
    <w:rsid w:val="00737D7B"/>
    <w:rPr>
      <w:szCs w:val="24"/>
    </w:rPr>
  </w:style>
  <w:style w:type="paragraph" w:styleId="Header">
    <w:name w:val="header"/>
    <w:basedOn w:val="Normal"/>
    <w:link w:val="HeaderChar"/>
    <w:rsid w:val="00737D7B"/>
    <w:pPr>
      <w:tabs>
        <w:tab w:val="center" w:pos="4680"/>
        <w:tab w:val="right" w:pos="9360"/>
      </w:tabs>
      <w:suppressAutoHyphens w:val="0"/>
    </w:pPr>
  </w:style>
  <w:style w:type="character" w:customStyle="1" w:styleId="HeaderChar">
    <w:name w:val="Header Char"/>
    <w:basedOn w:val="DefaultParagraphFont"/>
    <w:link w:val="Header"/>
    <w:rsid w:val="00737D7B"/>
  </w:style>
  <w:style w:type="paragraph" w:styleId="Footer">
    <w:name w:val="footer"/>
    <w:basedOn w:val="Normal"/>
    <w:link w:val="FooterChar"/>
    <w:uiPriority w:val="99"/>
    <w:qFormat/>
    <w:rsid w:val="0075148C"/>
    <w:pPr>
      <w:tabs>
        <w:tab w:val="right" w:pos="9360"/>
      </w:tabs>
      <w:suppressAutoHyphens w:val="0"/>
    </w:pPr>
    <w:rPr>
      <w:color w:val="A6A6A6" w:themeColor="background1" w:themeShade="A6"/>
      <w:sz w:val="20"/>
    </w:rPr>
  </w:style>
  <w:style w:type="character" w:customStyle="1" w:styleId="FooterChar">
    <w:name w:val="Footer Char"/>
    <w:basedOn w:val="DefaultParagraphFont"/>
    <w:link w:val="Footer"/>
    <w:uiPriority w:val="99"/>
    <w:rsid w:val="0075148C"/>
    <w:rPr>
      <w:color w:val="A6A6A6" w:themeColor="background1" w:themeShade="A6"/>
      <w:sz w:val="20"/>
    </w:rPr>
  </w:style>
  <w:style w:type="paragraph" w:customStyle="1" w:styleId="Indentparagraph1">
    <w:name w:val="Indent paragraph 1"/>
    <w:basedOn w:val="Normal"/>
    <w:next w:val="Normal"/>
    <w:rsid w:val="00737D7B"/>
    <w:pPr>
      <w:ind w:left="720"/>
    </w:pPr>
  </w:style>
  <w:style w:type="paragraph" w:customStyle="1" w:styleId="Indentparagraph2">
    <w:name w:val="Indent paragraph 2"/>
    <w:basedOn w:val="Normal"/>
    <w:next w:val="Normal"/>
    <w:rsid w:val="00737D7B"/>
    <w:pPr>
      <w:ind w:left="1440"/>
    </w:pPr>
  </w:style>
  <w:style w:type="paragraph" w:customStyle="1" w:styleId="Indentparagraph3">
    <w:name w:val="Indent paragraph 3"/>
    <w:basedOn w:val="Normal"/>
    <w:next w:val="Normal"/>
    <w:rsid w:val="00737D7B"/>
    <w:pPr>
      <w:ind w:left="2160"/>
    </w:pPr>
  </w:style>
  <w:style w:type="paragraph" w:styleId="ListParagraph">
    <w:name w:val="List Paragraph"/>
    <w:basedOn w:val="Normal"/>
    <w:link w:val="ListParagraphChar"/>
    <w:uiPriority w:val="34"/>
    <w:qFormat/>
    <w:rsid w:val="00FD19CB"/>
    <w:pPr>
      <w:suppressAutoHyphens w:val="0"/>
      <w:spacing w:after="160"/>
      <w:ind w:left="720"/>
      <w:contextualSpacing/>
    </w:pPr>
  </w:style>
  <w:style w:type="paragraph" w:customStyle="1" w:styleId="SCT">
    <w:name w:val="SCT"/>
    <w:basedOn w:val="Normal"/>
    <w:next w:val="Normal"/>
    <w:rsid w:val="00737D7B"/>
    <w:pPr>
      <w:spacing w:after="240"/>
      <w:jc w:val="center"/>
    </w:pPr>
    <w:rPr>
      <w:rFonts w:ascii="Arial" w:hAnsi="Arial"/>
      <w:caps/>
      <w:color w:val="000000"/>
    </w:rPr>
  </w:style>
  <w:style w:type="paragraph" w:customStyle="1" w:styleId="ART">
    <w:name w:val="ART"/>
    <w:basedOn w:val="Normal"/>
    <w:next w:val="Normal"/>
    <w:rsid w:val="00737D7B"/>
    <w:pPr>
      <w:keepNext/>
      <w:numPr>
        <w:ilvl w:val="1"/>
        <w:numId w:val="2"/>
      </w:numPr>
      <w:spacing w:before="480"/>
      <w:outlineLvl w:val="1"/>
    </w:pPr>
    <w:rPr>
      <w:rFonts w:ascii="Arial" w:hAnsi="Arial"/>
      <w:color w:val="000000"/>
    </w:rPr>
  </w:style>
  <w:style w:type="paragraph" w:customStyle="1" w:styleId="PR1">
    <w:name w:val="PR1"/>
    <w:basedOn w:val="Normal"/>
    <w:rsid w:val="00737D7B"/>
    <w:pPr>
      <w:numPr>
        <w:ilvl w:val="2"/>
        <w:numId w:val="2"/>
      </w:numPr>
      <w:spacing w:before="240"/>
      <w:outlineLvl w:val="2"/>
    </w:pPr>
    <w:rPr>
      <w:rFonts w:ascii="Arial" w:hAnsi="Arial"/>
      <w:color w:val="000000"/>
    </w:rPr>
  </w:style>
  <w:style w:type="paragraph" w:customStyle="1" w:styleId="PR2">
    <w:name w:val="PR2"/>
    <w:basedOn w:val="Normal"/>
    <w:rsid w:val="00737D7B"/>
    <w:pPr>
      <w:numPr>
        <w:ilvl w:val="3"/>
        <w:numId w:val="2"/>
      </w:numPr>
      <w:spacing w:after="120"/>
      <w:outlineLvl w:val="3"/>
    </w:pPr>
    <w:rPr>
      <w:rFonts w:ascii="Arial" w:hAnsi="Arial"/>
      <w:color w:val="000000"/>
    </w:rPr>
  </w:style>
  <w:style w:type="paragraph" w:customStyle="1" w:styleId="PR3">
    <w:name w:val="PR3"/>
    <w:basedOn w:val="Normal"/>
    <w:rsid w:val="00737D7B"/>
    <w:pPr>
      <w:numPr>
        <w:ilvl w:val="4"/>
        <w:numId w:val="2"/>
      </w:numPr>
      <w:spacing w:before="240"/>
      <w:outlineLvl w:val="4"/>
    </w:pPr>
    <w:rPr>
      <w:rFonts w:ascii="Arial" w:hAnsi="Arial"/>
      <w:color w:val="000000"/>
    </w:rPr>
  </w:style>
  <w:style w:type="paragraph" w:customStyle="1" w:styleId="PR4">
    <w:name w:val="PR4"/>
    <w:basedOn w:val="Normal"/>
    <w:next w:val="Normal"/>
    <w:rsid w:val="00737D7B"/>
    <w:pPr>
      <w:numPr>
        <w:ilvl w:val="5"/>
        <w:numId w:val="2"/>
      </w:numPr>
      <w:outlineLvl w:val="5"/>
    </w:pPr>
    <w:rPr>
      <w:rFonts w:ascii="Arial" w:hAnsi="Arial"/>
      <w:color w:val="000000"/>
    </w:rPr>
  </w:style>
  <w:style w:type="paragraph" w:customStyle="1" w:styleId="PR5">
    <w:name w:val="PR5"/>
    <w:basedOn w:val="Normal"/>
    <w:rsid w:val="00737D7B"/>
    <w:pPr>
      <w:numPr>
        <w:ilvl w:val="6"/>
        <w:numId w:val="2"/>
      </w:numPr>
      <w:outlineLvl w:val="6"/>
    </w:pPr>
    <w:rPr>
      <w:rFonts w:ascii="Arial" w:hAnsi="Arial"/>
      <w:color w:val="000000"/>
    </w:rPr>
  </w:style>
  <w:style w:type="paragraph" w:customStyle="1" w:styleId="PRT">
    <w:name w:val="PRT"/>
    <w:basedOn w:val="Normal"/>
    <w:next w:val="ART"/>
    <w:rsid w:val="00737D7B"/>
    <w:pPr>
      <w:keepNext/>
      <w:numPr>
        <w:numId w:val="2"/>
      </w:numPr>
      <w:spacing w:before="480"/>
      <w:outlineLvl w:val="0"/>
    </w:pPr>
    <w:rPr>
      <w:rFonts w:ascii="Arial" w:hAnsi="Arial"/>
      <w:caps/>
      <w:color w:val="000000"/>
    </w:rPr>
  </w:style>
  <w:style w:type="character" w:customStyle="1" w:styleId="Heading5Char">
    <w:name w:val="Heading 5 Char"/>
    <w:basedOn w:val="DefaultParagraphFont"/>
    <w:link w:val="Heading5"/>
    <w:rsid w:val="00FD19CB"/>
    <w:rPr>
      <w:color w:val="007DA4" w:themeColor="accent3"/>
      <w:sz w:val="24"/>
      <w:u w:val="single"/>
    </w:rPr>
  </w:style>
  <w:style w:type="character" w:customStyle="1" w:styleId="Heading6Char">
    <w:name w:val="Heading 6 Char"/>
    <w:basedOn w:val="DefaultParagraphFont"/>
    <w:link w:val="Heading6"/>
    <w:rsid w:val="00FD19CB"/>
    <w:rPr>
      <w:i/>
      <w:color w:val="165C7D" w:themeColor="accent5"/>
      <w:sz w:val="24"/>
    </w:rPr>
  </w:style>
  <w:style w:type="character" w:customStyle="1" w:styleId="Heading7Char">
    <w:name w:val="Heading 7 Char"/>
    <w:basedOn w:val="DefaultParagraphFont"/>
    <w:link w:val="Heading7"/>
    <w:rsid w:val="00737D7B"/>
    <w:rPr>
      <w:b/>
    </w:rPr>
  </w:style>
  <w:style w:type="character" w:customStyle="1" w:styleId="Heading8Char">
    <w:name w:val="Heading 8 Char"/>
    <w:basedOn w:val="DefaultParagraphFont"/>
    <w:link w:val="Heading8"/>
    <w:rsid w:val="00737D7B"/>
    <w:rPr>
      <w:b/>
      <w:i/>
    </w:rPr>
  </w:style>
  <w:style w:type="character" w:customStyle="1" w:styleId="Heading9Char">
    <w:name w:val="Heading 9 Char"/>
    <w:basedOn w:val="DefaultParagraphFont"/>
    <w:link w:val="Heading9"/>
    <w:rsid w:val="00737D7B"/>
  </w:style>
  <w:style w:type="paragraph" w:customStyle="1" w:styleId="Bullets">
    <w:name w:val="Bullets"/>
    <w:basedOn w:val="ListParagraph"/>
    <w:link w:val="BulletsChar"/>
    <w:rsid w:val="00737D7B"/>
    <w:pPr>
      <w:spacing w:after="0"/>
      <w:ind w:left="0"/>
      <w:contextualSpacing w:val="0"/>
    </w:pPr>
  </w:style>
  <w:style w:type="character" w:customStyle="1" w:styleId="BulletsChar">
    <w:name w:val="Bullets Char"/>
    <w:basedOn w:val="DefaultParagraphFont"/>
    <w:link w:val="Bullets"/>
    <w:rsid w:val="00737D7B"/>
  </w:style>
  <w:style w:type="paragraph" w:customStyle="1" w:styleId="URL">
    <w:name w:val="URL"/>
    <w:basedOn w:val="Normal"/>
    <w:semiHidden/>
    <w:qFormat/>
    <w:rsid w:val="00F26D10"/>
    <w:pPr>
      <w:ind w:left="6480"/>
    </w:pPr>
    <w:rPr>
      <w:rFonts w:eastAsia="Calibri"/>
      <w:b/>
      <w:color w:val="34B5D0" w:themeColor="accent1"/>
      <w:sz w:val="20"/>
    </w:rPr>
  </w:style>
  <w:style w:type="paragraph" w:styleId="Caption">
    <w:name w:val="caption"/>
    <w:basedOn w:val="Normal"/>
    <w:next w:val="Normal"/>
    <w:autoRedefine/>
    <w:rsid w:val="00737D7B"/>
    <w:pPr>
      <w:suppressAutoHyphens w:val="0"/>
      <w:spacing w:before="120"/>
    </w:pPr>
    <w:rPr>
      <w:bCs/>
      <w:i/>
      <w:sz w:val="20"/>
    </w:rPr>
  </w:style>
  <w:style w:type="table" w:styleId="TableGrid">
    <w:name w:val="Table Grid"/>
    <w:basedOn w:val="TableNormal"/>
    <w:rsid w:val="00FE2AC2"/>
    <w:pPr>
      <w:jc w:val="both"/>
    </w:pPr>
    <w:tblPr/>
  </w:style>
  <w:style w:type="paragraph" w:customStyle="1" w:styleId="Appendix">
    <w:name w:val="Appendix"/>
    <w:basedOn w:val="DividerTitleHeading1"/>
    <w:next w:val="Normal"/>
    <w:rsid w:val="00F9563D"/>
  </w:style>
  <w:style w:type="paragraph" w:customStyle="1" w:styleId="Bullet1ss">
    <w:name w:val="Bullet 1 (ss)"/>
    <w:basedOn w:val="ListParagraph"/>
    <w:link w:val="Bullet1ssChar"/>
    <w:rsid w:val="00737D7B"/>
    <w:pPr>
      <w:numPr>
        <w:numId w:val="27"/>
      </w:numPr>
      <w:spacing w:after="0"/>
      <w:contextualSpacing w:val="0"/>
    </w:pPr>
  </w:style>
  <w:style w:type="character" w:customStyle="1" w:styleId="Bullet1ssChar">
    <w:name w:val="Bullet 1 (ss) Char"/>
    <w:basedOn w:val="DefaultParagraphFont"/>
    <w:link w:val="Bullet1ss"/>
    <w:rsid w:val="00737D7B"/>
    <w:rPr>
      <w:sz w:val="24"/>
    </w:rPr>
  </w:style>
  <w:style w:type="paragraph" w:customStyle="1" w:styleId="Bullet16ptbefore">
    <w:name w:val="Bullet 1 (6pt before)"/>
    <w:basedOn w:val="Bullet1ss"/>
    <w:rsid w:val="00FD19CB"/>
    <w:pPr>
      <w:spacing w:before="120"/>
    </w:pPr>
  </w:style>
  <w:style w:type="paragraph" w:customStyle="1" w:styleId="Bullet2ss">
    <w:name w:val="Bullet 2 (ss)"/>
    <w:basedOn w:val="Bullet1ss"/>
    <w:link w:val="Bullet2ssChar"/>
    <w:rsid w:val="00737D7B"/>
    <w:pPr>
      <w:ind w:left="1440"/>
    </w:pPr>
  </w:style>
  <w:style w:type="character" w:customStyle="1" w:styleId="Bullet2ssChar">
    <w:name w:val="Bullet 2 (ss) Char"/>
    <w:basedOn w:val="Bullet1ssChar"/>
    <w:link w:val="Bullet2ss"/>
    <w:rsid w:val="00737D7B"/>
    <w:rPr>
      <w:sz w:val="24"/>
    </w:rPr>
  </w:style>
  <w:style w:type="paragraph" w:customStyle="1" w:styleId="Bullet23ptbefore">
    <w:name w:val="Bullet 2 (3pt before)"/>
    <w:basedOn w:val="Bullet2ss"/>
    <w:link w:val="Bullet23ptbeforeChar"/>
    <w:rsid w:val="00FD19CB"/>
    <w:pPr>
      <w:numPr>
        <w:numId w:val="0"/>
      </w:numPr>
      <w:spacing w:before="60"/>
      <w:ind w:left="1440" w:hanging="360"/>
    </w:pPr>
    <w:rPr>
      <w:szCs w:val="20"/>
    </w:rPr>
  </w:style>
  <w:style w:type="character" w:customStyle="1" w:styleId="Bullet23ptbeforeChar">
    <w:name w:val="Bullet 2 (3pt before) Char"/>
    <w:basedOn w:val="Bullet2ssChar"/>
    <w:link w:val="Bullet23ptbefore"/>
    <w:rsid w:val="00FD19CB"/>
    <w:rPr>
      <w:sz w:val="24"/>
      <w:szCs w:val="20"/>
    </w:rPr>
  </w:style>
  <w:style w:type="paragraph" w:customStyle="1" w:styleId="Bullet3ss">
    <w:name w:val="Bullet 3 (ss)"/>
    <w:basedOn w:val="Bullet2ss"/>
    <w:link w:val="Bullet3ssChar"/>
    <w:rsid w:val="00737D7B"/>
    <w:pPr>
      <w:numPr>
        <w:numId w:val="0"/>
      </w:numPr>
      <w:ind w:left="2160" w:hanging="360"/>
    </w:pPr>
  </w:style>
  <w:style w:type="character" w:customStyle="1" w:styleId="Bullet3ssChar">
    <w:name w:val="Bullet 3 (ss) Char"/>
    <w:basedOn w:val="Bullet2ssChar"/>
    <w:link w:val="Bullet3ss"/>
    <w:rsid w:val="00737D7B"/>
    <w:rPr>
      <w:sz w:val="24"/>
    </w:rPr>
  </w:style>
  <w:style w:type="paragraph" w:customStyle="1" w:styleId="Bullet33ptbefore">
    <w:name w:val="Bullet 3 (3pt before)"/>
    <w:basedOn w:val="Bullet3ss"/>
    <w:link w:val="Bullet33ptbeforeChar"/>
    <w:rsid w:val="00FD19CB"/>
    <w:pPr>
      <w:spacing w:before="60"/>
      <w:ind w:left="0" w:firstLine="0"/>
    </w:pPr>
    <w:rPr>
      <w:szCs w:val="20"/>
    </w:rPr>
  </w:style>
  <w:style w:type="character" w:customStyle="1" w:styleId="Bullet33ptbeforeChar">
    <w:name w:val="Bullet 3 (3pt before) Char"/>
    <w:basedOn w:val="Bullet23ptbeforeChar"/>
    <w:link w:val="Bullet33ptbefore"/>
    <w:rsid w:val="00FD19CB"/>
    <w:rPr>
      <w:sz w:val="24"/>
      <w:szCs w:val="20"/>
    </w:rPr>
  </w:style>
  <w:style w:type="paragraph" w:customStyle="1" w:styleId="bullethyphenss">
    <w:name w:val="bullet hyphen (ss)"/>
    <w:basedOn w:val="Bullets"/>
    <w:rsid w:val="00737D7B"/>
    <w:pPr>
      <w:numPr>
        <w:ilvl w:val="1"/>
      </w:numPr>
    </w:pPr>
  </w:style>
  <w:style w:type="paragraph" w:customStyle="1" w:styleId="bullethyphends">
    <w:name w:val="bullet hyphen (ds)"/>
    <w:basedOn w:val="bullethyphenss"/>
    <w:rsid w:val="00737D7B"/>
    <w:pPr>
      <w:numPr>
        <w:ilvl w:val="0"/>
      </w:numPr>
      <w:spacing w:after="240"/>
    </w:pPr>
  </w:style>
  <w:style w:type="paragraph" w:customStyle="1" w:styleId="bulletsquareds">
    <w:name w:val="bullet square (ds)"/>
    <w:basedOn w:val="Bullets"/>
    <w:rsid w:val="00737D7B"/>
    <w:pPr>
      <w:spacing w:after="240"/>
    </w:pPr>
  </w:style>
  <w:style w:type="paragraph" w:customStyle="1" w:styleId="bulletsquaress">
    <w:name w:val="bullet square (ss)"/>
    <w:basedOn w:val="Bullets"/>
    <w:rsid w:val="00737D7B"/>
  </w:style>
  <w:style w:type="paragraph" w:customStyle="1" w:styleId="HeadingBoldCaps">
    <w:name w:val="Heading (Bold/Caps)"/>
    <w:basedOn w:val="HAHeadingBoldCaps"/>
    <w:rsid w:val="00737D7B"/>
  </w:style>
  <w:style w:type="character" w:styleId="PageNumber">
    <w:name w:val="page number"/>
    <w:basedOn w:val="DefaultParagraphFont"/>
    <w:rsid w:val="00F9563D"/>
  </w:style>
  <w:style w:type="paragraph" w:customStyle="1" w:styleId="TableTitle">
    <w:name w:val="Table Title"/>
    <w:basedOn w:val="Normal"/>
    <w:link w:val="TableTitleChar"/>
    <w:qFormat/>
    <w:rsid w:val="00B05C90"/>
    <w:pPr>
      <w:keepNext/>
      <w:suppressAutoHyphens w:val="0"/>
      <w:ind w:left="2160" w:hanging="2160"/>
      <w:jc w:val="center"/>
    </w:pPr>
    <w:rPr>
      <w:b/>
      <w:bCs/>
      <w:sz w:val="20"/>
      <w:szCs w:val="24"/>
    </w:rPr>
  </w:style>
  <w:style w:type="character" w:customStyle="1" w:styleId="TableTitleChar">
    <w:name w:val="Table Title Char"/>
    <w:basedOn w:val="DefaultParagraphFont"/>
    <w:link w:val="TableTitle"/>
    <w:rsid w:val="00B05C90"/>
    <w:rPr>
      <w:b/>
      <w:bCs/>
      <w:sz w:val="20"/>
      <w:szCs w:val="24"/>
    </w:rPr>
  </w:style>
  <w:style w:type="paragraph" w:customStyle="1" w:styleId="DividerTitleHeading1">
    <w:name w:val="Divider Title Heading 1"/>
    <w:basedOn w:val="Normal"/>
    <w:next w:val="Normal"/>
    <w:rsid w:val="00737D7B"/>
    <w:pPr>
      <w:keepNext/>
      <w:keepLines/>
      <w:tabs>
        <w:tab w:val="left" w:pos="1800"/>
      </w:tabs>
      <w:suppressAutoHyphens w:val="0"/>
      <w:overflowPunct w:val="0"/>
      <w:autoSpaceDE w:val="0"/>
      <w:autoSpaceDN w:val="0"/>
      <w:adjustRightInd w:val="0"/>
      <w:jc w:val="right"/>
      <w:textAlignment w:val="baseline"/>
      <w:outlineLvl w:val="0"/>
    </w:pPr>
    <w:rPr>
      <w:rFonts w:ascii="Arial Black" w:hAnsi="Arial Black"/>
      <w:caps/>
      <w:color w:val="5A8E22" w:themeColor="accent2"/>
      <w:kern w:val="36"/>
      <w:sz w:val="30"/>
      <w:szCs w:val="20"/>
    </w:rPr>
  </w:style>
  <w:style w:type="paragraph" w:customStyle="1" w:styleId="DividerTitleHeading2">
    <w:name w:val="Divider Title Heading 2"/>
    <w:basedOn w:val="Heading2"/>
    <w:next w:val="BodyText"/>
    <w:rsid w:val="00737D7B"/>
    <w:pPr>
      <w:keepLines/>
      <w:jc w:val="right"/>
    </w:pPr>
    <w:rPr>
      <w:rFonts w:ascii="Arial Black" w:hAnsi="Arial Black"/>
      <w:b w:val="0"/>
      <w:caps w:val="0"/>
      <w:color w:val="5A8E22" w:themeColor="accent2"/>
      <w:kern w:val="28"/>
      <w:sz w:val="30"/>
      <w:szCs w:val="32"/>
    </w:rPr>
  </w:style>
  <w:style w:type="paragraph" w:styleId="BodyText">
    <w:name w:val="Body Text"/>
    <w:basedOn w:val="Normal"/>
    <w:link w:val="BodyTextChar"/>
    <w:semiHidden/>
    <w:unhideWhenUsed/>
    <w:qFormat/>
    <w:rsid w:val="00737D7B"/>
    <w:pPr>
      <w:spacing w:after="120"/>
    </w:pPr>
  </w:style>
  <w:style w:type="character" w:customStyle="1" w:styleId="BodyTextChar">
    <w:name w:val="Body Text Char"/>
    <w:basedOn w:val="DefaultParagraphFont"/>
    <w:link w:val="BodyText"/>
    <w:semiHidden/>
    <w:rsid w:val="00737D7B"/>
  </w:style>
  <w:style w:type="paragraph" w:styleId="Title">
    <w:name w:val="Title"/>
    <w:basedOn w:val="Normal"/>
    <w:next w:val="Normal"/>
    <w:link w:val="TitleChar"/>
    <w:uiPriority w:val="10"/>
    <w:rsid w:val="00737D7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37D7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semiHidden/>
    <w:rsid w:val="00737D7B"/>
    <w:pPr>
      <w:numPr>
        <w:ilvl w:val="1"/>
      </w:numPr>
      <w:spacing w:after="160"/>
    </w:pPr>
    <w:rPr>
      <w:rFonts w:eastAsiaTheme="majorEastAsia" w:cstheme="majorBidi"/>
      <w:color w:val="978E86" w:themeColor="text1" w:themeTint="A6"/>
      <w:spacing w:val="15"/>
      <w:sz w:val="28"/>
      <w:szCs w:val="28"/>
    </w:rPr>
  </w:style>
  <w:style w:type="character" w:customStyle="1" w:styleId="SubtitleChar">
    <w:name w:val="Subtitle Char"/>
    <w:basedOn w:val="DefaultParagraphFont"/>
    <w:link w:val="Subtitle"/>
    <w:uiPriority w:val="11"/>
    <w:semiHidden/>
    <w:rsid w:val="00737D7B"/>
    <w:rPr>
      <w:rFonts w:eastAsiaTheme="majorEastAsia" w:cstheme="majorBidi"/>
      <w:color w:val="978E86" w:themeColor="text1" w:themeTint="A6"/>
      <w:spacing w:val="15"/>
      <w:sz w:val="28"/>
      <w:szCs w:val="28"/>
    </w:rPr>
  </w:style>
  <w:style w:type="paragraph" w:styleId="Quote">
    <w:name w:val="Quote"/>
    <w:basedOn w:val="Normal"/>
    <w:next w:val="Normal"/>
    <w:link w:val="QuoteChar"/>
    <w:uiPriority w:val="29"/>
    <w:rsid w:val="00737D7B"/>
    <w:pPr>
      <w:spacing w:before="160" w:after="160"/>
      <w:jc w:val="center"/>
    </w:pPr>
    <w:rPr>
      <w:i/>
      <w:iCs/>
      <w:color w:val="877E75" w:themeColor="text1" w:themeTint="BF"/>
    </w:rPr>
  </w:style>
  <w:style w:type="character" w:customStyle="1" w:styleId="QuoteChar">
    <w:name w:val="Quote Char"/>
    <w:basedOn w:val="DefaultParagraphFont"/>
    <w:link w:val="Quote"/>
    <w:uiPriority w:val="29"/>
    <w:rsid w:val="00737D7B"/>
    <w:rPr>
      <w:i/>
      <w:iCs/>
      <w:color w:val="877E75" w:themeColor="text1" w:themeTint="BF"/>
    </w:rPr>
  </w:style>
  <w:style w:type="character" w:styleId="IntenseEmphasis">
    <w:name w:val="Intense Emphasis"/>
    <w:basedOn w:val="DefaultParagraphFont"/>
    <w:uiPriority w:val="21"/>
    <w:rsid w:val="00737D7B"/>
    <w:rPr>
      <w:i/>
      <w:iCs/>
      <w:color w:val="24889E" w:themeColor="accent1" w:themeShade="BF"/>
    </w:rPr>
  </w:style>
  <w:style w:type="paragraph" w:styleId="IntenseQuote">
    <w:name w:val="Intense Quote"/>
    <w:basedOn w:val="Normal"/>
    <w:next w:val="Normal"/>
    <w:link w:val="IntenseQuoteChar"/>
    <w:uiPriority w:val="30"/>
    <w:rsid w:val="00737D7B"/>
    <w:pPr>
      <w:pBdr>
        <w:top w:val="single" w:sz="4" w:space="10" w:color="24889E" w:themeColor="accent1" w:themeShade="BF"/>
        <w:bottom w:val="single" w:sz="4" w:space="10" w:color="24889E" w:themeColor="accent1" w:themeShade="BF"/>
      </w:pBdr>
      <w:spacing w:before="360" w:after="360"/>
      <w:ind w:left="864" w:right="864"/>
      <w:jc w:val="center"/>
    </w:pPr>
    <w:rPr>
      <w:i/>
      <w:iCs/>
      <w:color w:val="24889E" w:themeColor="accent1" w:themeShade="BF"/>
    </w:rPr>
  </w:style>
  <w:style w:type="character" w:customStyle="1" w:styleId="IntenseQuoteChar">
    <w:name w:val="Intense Quote Char"/>
    <w:basedOn w:val="DefaultParagraphFont"/>
    <w:link w:val="IntenseQuote"/>
    <w:uiPriority w:val="30"/>
    <w:rsid w:val="00737D7B"/>
    <w:rPr>
      <w:i/>
      <w:iCs/>
      <w:color w:val="24889E" w:themeColor="accent1" w:themeShade="BF"/>
    </w:rPr>
  </w:style>
  <w:style w:type="character" w:styleId="IntenseReference">
    <w:name w:val="Intense Reference"/>
    <w:basedOn w:val="DefaultParagraphFont"/>
    <w:uiPriority w:val="32"/>
    <w:rsid w:val="00737D7B"/>
    <w:rPr>
      <w:b/>
      <w:bCs/>
      <w:smallCaps/>
      <w:color w:val="24889E" w:themeColor="accent1" w:themeShade="BF"/>
      <w:spacing w:val="5"/>
    </w:rPr>
  </w:style>
  <w:style w:type="character" w:customStyle="1" w:styleId="CLN">
    <w:name w:val="CLN"/>
    <w:basedOn w:val="DefaultParagraphFont"/>
    <w:uiPriority w:val="1"/>
    <w:semiHidden/>
    <w:qFormat/>
    <w:rsid w:val="00737D7B"/>
    <w:rPr>
      <w:sz w:val="18"/>
    </w:rPr>
  </w:style>
  <w:style w:type="paragraph" w:customStyle="1" w:styleId="Letterhead">
    <w:name w:val="Letterhead"/>
    <w:basedOn w:val="Normal"/>
    <w:rsid w:val="00737D7B"/>
    <w:pPr>
      <w:suppressAutoHyphens w:val="0"/>
      <w:spacing w:line="180" w:lineRule="exact"/>
    </w:pPr>
    <w:rPr>
      <w:rFonts w:asciiTheme="majorHAnsi" w:hAnsiTheme="majorHAnsi"/>
      <w:sz w:val="16"/>
    </w:rPr>
  </w:style>
  <w:style w:type="paragraph" w:customStyle="1" w:styleId="CoName">
    <w:name w:val="CoName"/>
    <w:basedOn w:val="Letterhead"/>
    <w:rsid w:val="00737D7B"/>
    <w:rPr>
      <w:caps/>
      <w:szCs w:val="16"/>
    </w:rPr>
  </w:style>
  <w:style w:type="character" w:customStyle="1" w:styleId="ListParagraphChar">
    <w:name w:val="List Paragraph Char"/>
    <w:basedOn w:val="DefaultParagraphFont"/>
    <w:link w:val="ListParagraph"/>
    <w:uiPriority w:val="34"/>
    <w:rsid w:val="00FD19CB"/>
    <w:rPr>
      <w:sz w:val="24"/>
    </w:rPr>
  </w:style>
  <w:style w:type="paragraph" w:styleId="PlainText">
    <w:name w:val="Plain Text"/>
    <w:basedOn w:val="Normal"/>
    <w:link w:val="PlainTextChar"/>
    <w:semiHidden/>
    <w:unhideWhenUsed/>
    <w:rsid w:val="00737D7B"/>
    <w:pPr>
      <w:suppressAutoHyphens w:val="0"/>
    </w:pPr>
    <w:rPr>
      <w:rFonts w:ascii="Consolas" w:hAnsi="Consolas" w:cs="Consolas"/>
      <w:sz w:val="21"/>
      <w:szCs w:val="21"/>
    </w:rPr>
  </w:style>
  <w:style w:type="character" w:customStyle="1" w:styleId="PlainTextChar">
    <w:name w:val="Plain Text Char"/>
    <w:basedOn w:val="DefaultParagraphFont"/>
    <w:link w:val="PlainText"/>
    <w:semiHidden/>
    <w:rsid w:val="00737D7B"/>
    <w:rPr>
      <w:rFonts w:ascii="Consolas" w:hAnsi="Consolas" w:cs="Consolas"/>
      <w:sz w:val="21"/>
      <w:szCs w:val="21"/>
    </w:rPr>
  </w:style>
  <w:style w:type="paragraph" w:styleId="List">
    <w:name w:val="List"/>
    <w:basedOn w:val="Normal"/>
    <w:rsid w:val="00737D7B"/>
    <w:pPr>
      <w:suppressAutoHyphens w:val="0"/>
      <w:ind w:left="720" w:hanging="720"/>
    </w:pPr>
  </w:style>
  <w:style w:type="paragraph" w:styleId="ListBullet">
    <w:name w:val="List Bullet"/>
    <w:basedOn w:val="Normal"/>
    <w:unhideWhenUsed/>
    <w:rsid w:val="00737D7B"/>
    <w:pPr>
      <w:tabs>
        <w:tab w:val="num" w:pos="720"/>
      </w:tabs>
      <w:suppressAutoHyphens w:val="0"/>
      <w:ind w:left="720" w:hanging="720"/>
      <w:contextualSpacing/>
    </w:pPr>
  </w:style>
  <w:style w:type="paragraph" w:styleId="ListNumber">
    <w:name w:val="List Number"/>
    <w:basedOn w:val="Normal"/>
    <w:unhideWhenUsed/>
    <w:rsid w:val="00FD19CB"/>
    <w:pPr>
      <w:tabs>
        <w:tab w:val="num" w:pos="360"/>
      </w:tabs>
      <w:ind w:left="360" w:hanging="360"/>
      <w:contextualSpacing/>
    </w:pPr>
  </w:style>
  <w:style w:type="paragraph" w:customStyle="1" w:styleId="ListNumber6ptbefore">
    <w:name w:val="List Number (6 pt before)"/>
    <w:basedOn w:val="ListNumber"/>
    <w:link w:val="ListNumber6ptbeforeChar"/>
    <w:rsid w:val="00FD19CB"/>
    <w:pPr>
      <w:numPr>
        <w:numId w:val="28"/>
      </w:numPr>
      <w:tabs>
        <w:tab w:val="clear" w:pos="360"/>
      </w:tabs>
      <w:spacing w:before="120"/>
      <w:contextualSpacing w:val="0"/>
    </w:pPr>
  </w:style>
  <w:style w:type="character" w:customStyle="1" w:styleId="ListNumber6ptbeforeChar">
    <w:name w:val="List Number (6 pt before) Char"/>
    <w:basedOn w:val="DefaultParagraphFont"/>
    <w:link w:val="ListNumber6ptbefore"/>
    <w:rsid w:val="00FD19CB"/>
    <w:rPr>
      <w:sz w:val="24"/>
    </w:rPr>
  </w:style>
  <w:style w:type="paragraph" w:styleId="Closing">
    <w:name w:val="Closing"/>
    <w:basedOn w:val="Normal"/>
    <w:link w:val="ClosingChar"/>
    <w:rsid w:val="00737D7B"/>
    <w:pPr>
      <w:suppressAutoHyphens w:val="0"/>
      <w:spacing w:after="960"/>
    </w:pPr>
  </w:style>
  <w:style w:type="character" w:customStyle="1" w:styleId="ClosingChar">
    <w:name w:val="Closing Char"/>
    <w:basedOn w:val="DefaultParagraphFont"/>
    <w:link w:val="Closing"/>
    <w:rsid w:val="00737D7B"/>
  </w:style>
  <w:style w:type="character" w:styleId="CommentReference">
    <w:name w:val="annotation reference"/>
    <w:basedOn w:val="DefaultParagraphFont"/>
    <w:semiHidden/>
    <w:unhideWhenUsed/>
    <w:rsid w:val="00737D7B"/>
    <w:rPr>
      <w:sz w:val="16"/>
      <w:szCs w:val="16"/>
    </w:rPr>
  </w:style>
  <w:style w:type="paragraph" w:styleId="CommentText">
    <w:name w:val="annotation text"/>
    <w:basedOn w:val="Normal"/>
    <w:link w:val="CommentTextChar"/>
    <w:unhideWhenUsed/>
    <w:rsid w:val="00737D7B"/>
    <w:pPr>
      <w:suppressAutoHyphens w:val="0"/>
    </w:pPr>
    <w:rPr>
      <w:sz w:val="20"/>
      <w:szCs w:val="20"/>
    </w:rPr>
  </w:style>
  <w:style w:type="character" w:customStyle="1" w:styleId="CommentTextChar">
    <w:name w:val="Comment Text Char"/>
    <w:basedOn w:val="DefaultParagraphFont"/>
    <w:link w:val="CommentText"/>
    <w:rsid w:val="00737D7B"/>
    <w:rPr>
      <w:sz w:val="20"/>
      <w:szCs w:val="20"/>
    </w:rPr>
  </w:style>
  <w:style w:type="paragraph" w:styleId="CommentSubject">
    <w:name w:val="annotation subject"/>
    <w:basedOn w:val="CommentText"/>
    <w:next w:val="CommentText"/>
    <w:link w:val="CommentSubjectChar"/>
    <w:semiHidden/>
    <w:unhideWhenUsed/>
    <w:rsid w:val="00737D7B"/>
    <w:rPr>
      <w:b/>
      <w:bCs/>
    </w:rPr>
  </w:style>
  <w:style w:type="character" w:customStyle="1" w:styleId="CommentSubjectChar">
    <w:name w:val="Comment Subject Char"/>
    <w:basedOn w:val="CommentTextChar"/>
    <w:link w:val="CommentSubject"/>
    <w:semiHidden/>
    <w:rsid w:val="00737D7B"/>
    <w:rPr>
      <w:b/>
      <w:bCs/>
      <w:sz w:val="20"/>
      <w:szCs w:val="20"/>
    </w:rPr>
  </w:style>
  <w:style w:type="character" w:customStyle="1" w:styleId="CompanyInfoHeading">
    <w:name w:val="Company Info Heading"/>
    <w:basedOn w:val="DefaultParagraphFont"/>
    <w:rsid w:val="00737D7B"/>
    <w:rPr>
      <w:rFonts w:asciiTheme="minorHAnsi" w:hAnsiTheme="minorHAnsi"/>
      <w:color w:val="000000" w:themeColor="text2"/>
      <w:sz w:val="24"/>
    </w:rPr>
  </w:style>
  <w:style w:type="paragraph" w:customStyle="1" w:styleId="CompanyInfo">
    <w:name w:val="CompanyInfo"/>
    <w:basedOn w:val="Normal"/>
    <w:rsid w:val="00737D7B"/>
    <w:pPr>
      <w:suppressAutoHyphens w:val="0"/>
      <w:ind w:left="2160"/>
    </w:pPr>
  </w:style>
  <w:style w:type="paragraph" w:styleId="Date">
    <w:name w:val="Date"/>
    <w:basedOn w:val="Normal"/>
    <w:next w:val="Normal"/>
    <w:link w:val="DateChar"/>
    <w:rsid w:val="00737D7B"/>
    <w:pPr>
      <w:suppressAutoHyphens w:val="0"/>
      <w:spacing w:after="480"/>
    </w:pPr>
  </w:style>
  <w:style w:type="character" w:customStyle="1" w:styleId="DateChar">
    <w:name w:val="Date Char"/>
    <w:basedOn w:val="DefaultParagraphFont"/>
    <w:link w:val="Date"/>
    <w:rsid w:val="00737D7B"/>
  </w:style>
  <w:style w:type="paragraph" w:customStyle="1" w:styleId="ExecSummHeading2">
    <w:name w:val="Exec Summ Heading 2"/>
    <w:basedOn w:val="Normal"/>
    <w:next w:val="Normal"/>
    <w:rsid w:val="00737D7B"/>
    <w:pPr>
      <w:keepNext/>
      <w:suppressAutoHyphens w:val="0"/>
      <w:spacing w:after="240"/>
    </w:pPr>
    <w:rPr>
      <w:b/>
      <w:caps/>
      <w:color w:val="007DA4" w:themeColor="accent3"/>
    </w:rPr>
  </w:style>
  <w:style w:type="paragraph" w:customStyle="1" w:styleId="ExecSummHeading3">
    <w:name w:val="Exec Summ Heading 3"/>
    <w:basedOn w:val="ExecSummHeading2"/>
    <w:next w:val="Normal"/>
    <w:rsid w:val="00737D7B"/>
    <w:rPr>
      <w:caps w:val="0"/>
    </w:rPr>
  </w:style>
  <w:style w:type="paragraph" w:customStyle="1" w:styleId="HAFigureCaption">
    <w:name w:val="H&amp;A Figure Caption"/>
    <w:basedOn w:val="Normal"/>
    <w:rsid w:val="00737D7B"/>
    <w:pPr>
      <w:suppressAutoHyphens w:val="0"/>
      <w:jc w:val="center"/>
    </w:pPr>
    <w:rPr>
      <w:i/>
      <w:iCs/>
      <w:sz w:val="20"/>
      <w:szCs w:val="20"/>
    </w:rPr>
  </w:style>
  <w:style w:type="paragraph" w:customStyle="1" w:styleId="FigureCaption">
    <w:name w:val="Figure Caption"/>
    <w:basedOn w:val="HAFigureCaption"/>
    <w:rsid w:val="00FD19CB"/>
    <w:pPr>
      <w:spacing w:before="120"/>
    </w:pPr>
  </w:style>
  <w:style w:type="paragraph" w:customStyle="1" w:styleId="HABullet2SingleReturn">
    <w:name w:val="H&amp;A Bullet 2 Single Return"/>
    <w:basedOn w:val="Normal"/>
    <w:next w:val="Normal"/>
    <w:rsid w:val="00737D7B"/>
    <w:pPr>
      <w:numPr>
        <w:numId w:val="6"/>
      </w:numPr>
      <w:suppressAutoHyphens w:val="0"/>
      <w:spacing w:line="300" w:lineRule="atLeast"/>
    </w:pPr>
    <w:rPr>
      <w:rFonts w:ascii="Calibri" w:hAnsi="Calibri"/>
      <w:color w:val="000000"/>
      <w:spacing w:val="-2"/>
      <w:kern w:val="24"/>
      <w:szCs w:val="24"/>
    </w:rPr>
  </w:style>
  <w:style w:type="paragraph" w:customStyle="1" w:styleId="HABullet2">
    <w:name w:val="H&amp;A Bullet 2"/>
    <w:basedOn w:val="HABullet2SingleReturn"/>
    <w:next w:val="Normal"/>
    <w:rsid w:val="00737D7B"/>
    <w:pPr>
      <w:tabs>
        <w:tab w:val="clear" w:pos="864"/>
      </w:tabs>
      <w:spacing w:after="240"/>
    </w:pPr>
  </w:style>
  <w:style w:type="paragraph" w:customStyle="1" w:styleId="HAHeadingBoldCaps">
    <w:name w:val="H&amp;A Heading (Bold/Caps)"/>
    <w:basedOn w:val="Heading1"/>
    <w:rsid w:val="00737D7B"/>
    <w:rPr>
      <w:snapToGrid w:val="0"/>
    </w:rPr>
  </w:style>
  <w:style w:type="paragraph" w:customStyle="1" w:styleId="HApathname">
    <w:name w:val="H&amp;A pathname"/>
    <w:basedOn w:val="Normal"/>
    <w:rsid w:val="00737D7B"/>
    <w:rPr>
      <w:sz w:val="18"/>
    </w:rPr>
  </w:style>
  <w:style w:type="paragraph" w:customStyle="1" w:styleId="HAReportType">
    <w:name w:val="H&amp;A Report Type"/>
    <w:basedOn w:val="Normal"/>
    <w:rsid w:val="00737D7B"/>
    <w:pPr>
      <w:suppressAutoHyphens w:val="0"/>
    </w:pPr>
    <w:rPr>
      <w:rFonts w:ascii="Arial Black" w:eastAsia="Arial Unicode MS" w:hAnsi="Arial Black"/>
      <w:color w:val="808080"/>
      <w:spacing w:val="-10"/>
      <w:kern w:val="40"/>
      <w:szCs w:val="40"/>
    </w:rPr>
  </w:style>
  <w:style w:type="paragraph" w:customStyle="1" w:styleId="HATableColumnHeading">
    <w:name w:val="H&amp;A Table Column Heading"/>
    <w:basedOn w:val="Normal"/>
    <w:link w:val="HATableColumnHeadingChar"/>
    <w:rsid w:val="00737D7B"/>
    <w:pPr>
      <w:spacing w:before="40"/>
      <w:jc w:val="both"/>
    </w:pPr>
    <w:rPr>
      <w:b/>
      <w:sz w:val="20"/>
      <w:szCs w:val="20"/>
    </w:rPr>
  </w:style>
  <w:style w:type="character" w:customStyle="1" w:styleId="HATableColumnHeadingChar">
    <w:name w:val="H&amp;A Table Column Heading Char"/>
    <w:basedOn w:val="DefaultParagraphFont"/>
    <w:link w:val="HATableColumnHeading"/>
    <w:rsid w:val="00737D7B"/>
    <w:rPr>
      <w:b/>
      <w:sz w:val="20"/>
      <w:szCs w:val="20"/>
    </w:rPr>
  </w:style>
  <w:style w:type="paragraph" w:customStyle="1" w:styleId="HATableTitle">
    <w:name w:val="H&amp;A Table Title"/>
    <w:basedOn w:val="TableTitle"/>
    <w:rsid w:val="00737D7B"/>
    <w:pPr>
      <w:spacing w:before="40"/>
    </w:pPr>
    <w:rPr>
      <w:b w:val="0"/>
      <w:bCs w:val="0"/>
    </w:rPr>
  </w:style>
  <w:style w:type="paragraph" w:customStyle="1" w:styleId="HATitleText">
    <w:name w:val="H&amp;A Title Text"/>
    <w:basedOn w:val="Normal"/>
    <w:rsid w:val="00737D7B"/>
    <w:rPr>
      <w:rFonts w:ascii="Calibri" w:hAnsi="Calibri"/>
      <w:b/>
      <w:color w:val="auto"/>
      <w:kern w:val="28"/>
      <w:szCs w:val="28"/>
    </w:rPr>
  </w:style>
  <w:style w:type="paragraph" w:customStyle="1" w:styleId="HATitleTextBold">
    <w:name w:val="H&amp;A Title Text Bold"/>
    <w:basedOn w:val="Normal"/>
    <w:rsid w:val="00737D7B"/>
    <w:pPr>
      <w:suppressAutoHyphens w:val="0"/>
    </w:pPr>
    <w:rPr>
      <w:rFonts w:ascii="Arial Black" w:hAnsi="Arial Black"/>
      <w:color w:val="auto"/>
      <w:spacing w:val="-10"/>
      <w:kern w:val="40"/>
      <w:sz w:val="28"/>
      <w:szCs w:val="40"/>
    </w:rPr>
  </w:style>
  <w:style w:type="paragraph" w:customStyle="1" w:styleId="HCReportSubtitle">
    <w:name w:val="HC Report Subtitle"/>
    <w:basedOn w:val="Normal"/>
    <w:rsid w:val="00737D7B"/>
    <w:pPr>
      <w:suppressAutoHyphens w:val="0"/>
    </w:pPr>
    <w:rPr>
      <w:rFonts w:ascii="Arial Black" w:hAnsi="Arial Black"/>
      <w:color w:val="auto"/>
      <w:spacing w:val="-10"/>
      <w:kern w:val="40"/>
      <w:sz w:val="28"/>
      <w:szCs w:val="40"/>
    </w:rPr>
  </w:style>
  <w:style w:type="paragraph" w:customStyle="1" w:styleId="HCReportTitle">
    <w:name w:val="HC Report Title"/>
    <w:basedOn w:val="Normal"/>
    <w:rsid w:val="00737D7B"/>
    <w:pPr>
      <w:suppressAutoHyphens w:val="0"/>
      <w:outlineLvl w:val="0"/>
    </w:pPr>
    <w:rPr>
      <w:rFonts w:ascii="Arial Black" w:hAnsi="Arial Black"/>
      <w:color w:val="auto"/>
      <w:spacing w:val="-10"/>
      <w:kern w:val="40"/>
      <w:sz w:val="36"/>
      <w:szCs w:val="40"/>
    </w:rPr>
  </w:style>
  <w:style w:type="paragraph" w:customStyle="1" w:styleId="HCReportType">
    <w:name w:val="HC Report Type"/>
    <w:basedOn w:val="Normal"/>
    <w:rsid w:val="00737D7B"/>
    <w:pPr>
      <w:suppressAutoHyphens w:val="0"/>
    </w:pPr>
    <w:rPr>
      <w:rFonts w:ascii="Arial Black" w:eastAsia="Arial Unicode MS" w:hAnsi="Arial Black"/>
      <w:color w:val="808080"/>
      <w:spacing w:val="-10"/>
      <w:kern w:val="40"/>
      <w:szCs w:val="40"/>
    </w:rPr>
  </w:style>
  <w:style w:type="paragraph" w:customStyle="1" w:styleId="HCTitleText">
    <w:name w:val="HC Title Text"/>
    <w:basedOn w:val="Normal"/>
    <w:rsid w:val="00737D7B"/>
    <w:rPr>
      <w:rFonts w:ascii="Calibri" w:hAnsi="Calibri"/>
      <w:b/>
      <w:color w:val="auto"/>
      <w:kern w:val="28"/>
      <w:sz w:val="28"/>
      <w:szCs w:val="28"/>
    </w:rPr>
  </w:style>
  <w:style w:type="paragraph" w:customStyle="1" w:styleId="HCTitleTextBold">
    <w:name w:val="HC Title Text Bold"/>
    <w:basedOn w:val="Normal"/>
    <w:rsid w:val="00737D7B"/>
    <w:pPr>
      <w:suppressAutoHyphens w:val="0"/>
    </w:pPr>
    <w:rPr>
      <w:rFonts w:ascii="Arial Black" w:hAnsi="Arial Black"/>
      <w:color w:val="auto"/>
      <w:spacing w:val="-10"/>
      <w:kern w:val="40"/>
      <w:sz w:val="28"/>
      <w:szCs w:val="40"/>
    </w:rPr>
  </w:style>
  <w:style w:type="paragraph" w:customStyle="1" w:styleId="HeadingBoldNotcaps">
    <w:name w:val="Heading (Bold/Not caps)"/>
    <w:basedOn w:val="Normal"/>
    <w:next w:val="Normal"/>
    <w:rsid w:val="00737D7B"/>
    <w:pPr>
      <w:keepNext/>
      <w:suppressAutoHyphens w:val="0"/>
    </w:pPr>
    <w:rPr>
      <w:b/>
      <w:snapToGrid w:val="0"/>
    </w:rPr>
  </w:style>
  <w:style w:type="numbering" w:customStyle="1" w:styleId="HeadingNumbering">
    <w:name w:val="Heading Numbering"/>
    <w:uiPriority w:val="99"/>
    <w:rsid w:val="00737D7B"/>
    <w:pPr>
      <w:numPr>
        <w:numId w:val="7"/>
      </w:numPr>
    </w:pPr>
  </w:style>
  <w:style w:type="character" w:styleId="Hyperlink">
    <w:name w:val="Hyperlink"/>
    <w:basedOn w:val="DefaultParagraphFont"/>
    <w:uiPriority w:val="99"/>
    <w:rsid w:val="00737D7B"/>
    <w:rPr>
      <w:color w:val="007DA4" w:themeColor="accent3"/>
      <w:u w:val="single"/>
    </w:rPr>
  </w:style>
  <w:style w:type="character" w:styleId="UnresolvedMention">
    <w:name w:val="Unresolved Mention"/>
    <w:basedOn w:val="DefaultParagraphFont"/>
    <w:uiPriority w:val="99"/>
    <w:semiHidden/>
    <w:unhideWhenUsed/>
    <w:rsid w:val="00A74321"/>
    <w:rPr>
      <w:color w:val="605E5C"/>
      <w:shd w:val="clear" w:color="auto" w:fill="E1DFDD"/>
    </w:rPr>
  </w:style>
  <w:style w:type="paragraph" w:customStyle="1" w:styleId="Bullet1">
    <w:name w:val="Bullet 1"/>
    <w:basedOn w:val="Bullet1ss"/>
    <w:qFormat/>
    <w:rsid w:val="00FD19CB"/>
    <w:pPr>
      <w:spacing w:before="40" w:after="40"/>
    </w:pPr>
  </w:style>
  <w:style w:type="paragraph" w:customStyle="1" w:styleId="Bullet2">
    <w:name w:val="Bullet 2"/>
    <w:basedOn w:val="Bullet2ss"/>
    <w:link w:val="Bullet2Char"/>
    <w:rsid w:val="00FD19CB"/>
    <w:pPr>
      <w:numPr>
        <w:ilvl w:val="1"/>
      </w:numPr>
      <w:spacing w:before="40" w:after="40"/>
    </w:pPr>
    <w:rPr>
      <w:szCs w:val="20"/>
    </w:rPr>
  </w:style>
  <w:style w:type="character" w:customStyle="1" w:styleId="Bullet2Char">
    <w:name w:val="Bullet 2 Char"/>
    <w:basedOn w:val="Bullet2ssChar"/>
    <w:link w:val="Bullet2"/>
    <w:rsid w:val="00FD19CB"/>
    <w:rPr>
      <w:sz w:val="24"/>
      <w:szCs w:val="20"/>
    </w:rPr>
  </w:style>
  <w:style w:type="paragraph" w:customStyle="1" w:styleId="Bullet3">
    <w:name w:val="Bullet 3"/>
    <w:basedOn w:val="Bullet3ss"/>
    <w:link w:val="Bullet3Char"/>
    <w:rsid w:val="00FD19CB"/>
    <w:pPr>
      <w:numPr>
        <w:ilvl w:val="2"/>
        <w:numId w:val="27"/>
      </w:numPr>
      <w:spacing w:before="40" w:after="40"/>
    </w:pPr>
    <w:rPr>
      <w:szCs w:val="20"/>
    </w:rPr>
  </w:style>
  <w:style w:type="character" w:customStyle="1" w:styleId="Bullet3Char">
    <w:name w:val="Bullet 3 Char"/>
    <w:basedOn w:val="Bullet2Char"/>
    <w:link w:val="Bullet3"/>
    <w:rsid w:val="00FD19CB"/>
    <w:rPr>
      <w:sz w:val="24"/>
      <w:szCs w:val="20"/>
    </w:rPr>
  </w:style>
  <w:style w:type="paragraph" w:customStyle="1" w:styleId="SectionTitle">
    <w:name w:val="Section Title"/>
    <w:basedOn w:val="Title"/>
    <w:next w:val="Normal"/>
    <w:qFormat/>
    <w:rsid w:val="0075148C"/>
    <w:pPr>
      <w:keepNext/>
      <w:spacing w:after="40"/>
      <w:jc w:val="center"/>
      <w:outlineLvl w:val="0"/>
    </w:pPr>
    <w:rPr>
      <w:b/>
      <w:bCs/>
      <w:sz w:val="28"/>
      <w:szCs w:val="28"/>
    </w:rPr>
  </w:style>
  <w:style w:type="paragraph" w:customStyle="1" w:styleId="TableColumnHeading">
    <w:name w:val="Table Column Heading"/>
    <w:basedOn w:val="Normal"/>
    <w:link w:val="TableColumnHeadingChar"/>
    <w:qFormat/>
    <w:rsid w:val="0075148C"/>
    <w:pPr>
      <w:spacing w:before="40"/>
      <w:jc w:val="center"/>
    </w:pPr>
    <w:rPr>
      <w:b/>
      <w:szCs w:val="24"/>
    </w:rPr>
  </w:style>
  <w:style w:type="character" w:customStyle="1" w:styleId="TableColumnHeadingChar">
    <w:name w:val="Table Column Heading Char"/>
    <w:basedOn w:val="DefaultParagraphFont"/>
    <w:link w:val="TableColumnHeading"/>
    <w:rsid w:val="0075148C"/>
    <w:rPr>
      <w:b/>
      <w:sz w:val="24"/>
      <w:szCs w:val="24"/>
    </w:rPr>
  </w:style>
  <w:style w:type="table" w:customStyle="1" w:styleId="TableGrid1">
    <w:name w:val="Table Grid1"/>
    <w:basedOn w:val="TableNormal"/>
    <w:next w:val="TableGrid"/>
    <w:rsid w:val="003837B3"/>
    <w:pPr>
      <w:jc w:val="both"/>
    </w:pPr>
    <w:rPr>
      <w:kern w:val="2"/>
      <w14:ligatures w14:val="standardContextual"/>
    </w:rPr>
    <w:tblPr/>
  </w:style>
  <w:style w:type="table" w:styleId="TableGridLight">
    <w:name w:val="Grid Table Light"/>
    <w:basedOn w:val="TableNormal"/>
    <w:uiPriority w:val="40"/>
    <w:rsid w:val="009B02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rantBodyText">
    <w:name w:val="GrantBodyText"/>
    <w:basedOn w:val="Normal"/>
    <w:link w:val="GrantBodyTextChar"/>
    <w:rsid w:val="005E4280"/>
  </w:style>
  <w:style w:type="character" w:customStyle="1" w:styleId="GrantBodyTextChar">
    <w:name w:val="GrantBodyText Char"/>
    <w:basedOn w:val="DefaultParagraphFont"/>
    <w:link w:val="GrantBodyText"/>
    <w:rsid w:val="005E4280"/>
    <w:rPr>
      <w:sz w:val="24"/>
    </w:rPr>
  </w:style>
  <w:style w:type="paragraph" w:customStyle="1" w:styleId="HATips">
    <w:name w:val="H&amp;A Tips"/>
    <w:basedOn w:val="Normal"/>
    <w:link w:val="HATipsChar"/>
    <w:qFormat/>
    <w:rsid w:val="00181E82"/>
    <w:rPr>
      <w:color w:val="C00000"/>
    </w:rPr>
  </w:style>
  <w:style w:type="character" w:customStyle="1" w:styleId="HATipsChar">
    <w:name w:val="H&amp;A Tips Char"/>
    <w:basedOn w:val="DefaultParagraphFont"/>
    <w:link w:val="HATips"/>
    <w:rsid w:val="00181E82"/>
    <w:rPr>
      <w:color w:val="C00000"/>
      <w:sz w:val="24"/>
    </w:rPr>
  </w:style>
  <w:style w:type="paragraph" w:customStyle="1" w:styleId="TableContent">
    <w:name w:val="Table Content"/>
    <w:basedOn w:val="Normal"/>
    <w:link w:val="TableContentChar"/>
    <w:qFormat/>
    <w:rsid w:val="0090579B"/>
    <w:pPr>
      <w:spacing w:after="0"/>
      <w:jc w:val="center"/>
    </w:pPr>
    <w:rPr>
      <w:color w:val="auto"/>
      <w:kern w:val="2"/>
      <w:szCs w:val="24"/>
      <w14:ligatures w14:val="standardContextual"/>
    </w:rPr>
  </w:style>
  <w:style w:type="character" w:customStyle="1" w:styleId="TableContentChar">
    <w:name w:val="Table Content Char"/>
    <w:basedOn w:val="DefaultParagraphFont"/>
    <w:link w:val="TableContent"/>
    <w:rsid w:val="0090579B"/>
    <w:rPr>
      <w:color w:val="auto"/>
      <w:kern w:val="2"/>
      <w:sz w:val="24"/>
      <w:szCs w:val="24"/>
      <w14:ligatures w14:val="standardContextual"/>
    </w:rPr>
  </w:style>
  <w:style w:type="paragraph" w:customStyle="1" w:styleId="TableNotes">
    <w:name w:val="Table Notes"/>
    <w:basedOn w:val="GrantBodyText"/>
    <w:link w:val="TableNotesChar"/>
    <w:qFormat/>
    <w:rsid w:val="00B05C90"/>
    <w:pPr>
      <w:spacing w:after="0"/>
      <w:contextualSpacing/>
      <w:jc w:val="center"/>
    </w:pPr>
    <w:rPr>
      <w:i/>
      <w:iCs/>
      <w:sz w:val="20"/>
      <w:szCs w:val="18"/>
    </w:rPr>
  </w:style>
  <w:style w:type="character" w:customStyle="1" w:styleId="TableNotesChar">
    <w:name w:val="Table Notes Char"/>
    <w:basedOn w:val="GrantBodyTextChar"/>
    <w:link w:val="TableNotes"/>
    <w:rsid w:val="00B05C90"/>
    <w:rPr>
      <w:i/>
      <w:iCs/>
      <w:sz w:val="20"/>
      <w:szCs w:val="18"/>
    </w:rPr>
  </w:style>
  <w:style w:type="paragraph" w:styleId="Revision">
    <w:name w:val="Revision"/>
    <w:hidden/>
    <w:uiPriority w:val="99"/>
    <w:semiHidden/>
    <w:rsid w:val="00737FF4"/>
    <w:rPr>
      <w:sz w:val="24"/>
    </w:rPr>
  </w:style>
  <w:style w:type="character" w:styleId="Strong">
    <w:name w:val="Strong"/>
    <w:basedOn w:val="DefaultParagraphFont"/>
    <w:uiPriority w:val="22"/>
    <w:qFormat/>
    <w:rsid w:val="00EC348C"/>
    <w:rPr>
      <w:b/>
      <w:bCs/>
    </w:rPr>
  </w:style>
  <w:style w:type="paragraph" w:styleId="FootnoteText">
    <w:name w:val="footnote text"/>
    <w:basedOn w:val="Normal"/>
    <w:link w:val="FootnoteTextChar"/>
    <w:uiPriority w:val="99"/>
    <w:semiHidden/>
    <w:unhideWhenUsed/>
    <w:rsid w:val="00B05C90"/>
    <w:pPr>
      <w:spacing w:after="0"/>
    </w:pPr>
    <w:rPr>
      <w:i/>
      <w:sz w:val="16"/>
      <w:szCs w:val="20"/>
    </w:rPr>
  </w:style>
  <w:style w:type="character" w:customStyle="1" w:styleId="FootnoteTextChar">
    <w:name w:val="Footnote Text Char"/>
    <w:basedOn w:val="DefaultParagraphFont"/>
    <w:link w:val="FootnoteText"/>
    <w:uiPriority w:val="99"/>
    <w:semiHidden/>
    <w:rsid w:val="00B05C90"/>
    <w:rPr>
      <w:i/>
      <w:sz w:val="16"/>
      <w:szCs w:val="20"/>
    </w:rPr>
  </w:style>
  <w:style w:type="character" w:styleId="FootnoteReference">
    <w:name w:val="footnote reference"/>
    <w:basedOn w:val="DefaultParagraphFont"/>
    <w:uiPriority w:val="99"/>
    <w:semiHidden/>
    <w:unhideWhenUsed/>
    <w:rsid w:val="00B05C90"/>
    <w:rPr>
      <w:i/>
      <w:sz w:val="16"/>
      <w:vertAlign w:val="superscript"/>
    </w:rPr>
  </w:style>
  <w:style w:type="character" w:styleId="FollowedHyperlink">
    <w:name w:val="FollowedHyperlink"/>
    <w:basedOn w:val="DefaultParagraphFont"/>
    <w:uiPriority w:val="99"/>
    <w:semiHidden/>
    <w:unhideWhenUsed/>
    <w:rsid w:val="00762492"/>
    <w:rPr>
      <w:color w:val="9F958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87995">
      <w:bodyDiv w:val="1"/>
      <w:marLeft w:val="0"/>
      <w:marRight w:val="0"/>
      <w:marTop w:val="0"/>
      <w:marBottom w:val="0"/>
      <w:divBdr>
        <w:top w:val="none" w:sz="0" w:space="0" w:color="auto"/>
        <w:left w:val="none" w:sz="0" w:space="0" w:color="auto"/>
        <w:bottom w:val="none" w:sz="0" w:space="0" w:color="auto"/>
        <w:right w:val="none" w:sz="0" w:space="0" w:color="auto"/>
      </w:divBdr>
    </w:div>
    <w:div w:id="707805208">
      <w:marLeft w:val="0"/>
      <w:marRight w:val="0"/>
      <w:marTop w:val="0"/>
      <w:marBottom w:val="0"/>
      <w:divBdr>
        <w:top w:val="none" w:sz="0" w:space="0" w:color="auto"/>
        <w:left w:val="none" w:sz="0" w:space="0" w:color="auto"/>
        <w:bottom w:val="none" w:sz="0" w:space="0" w:color="auto"/>
        <w:right w:val="none" w:sz="0" w:space="0" w:color="auto"/>
      </w:divBdr>
    </w:div>
    <w:div w:id="1103190670">
      <w:marLeft w:val="0"/>
      <w:marRight w:val="0"/>
      <w:marTop w:val="0"/>
      <w:marBottom w:val="0"/>
      <w:divBdr>
        <w:top w:val="none" w:sz="0" w:space="0" w:color="auto"/>
        <w:left w:val="none" w:sz="0" w:space="0" w:color="auto"/>
        <w:bottom w:val="none" w:sz="0" w:space="0" w:color="auto"/>
        <w:right w:val="none" w:sz="0" w:space="0" w:color="auto"/>
      </w:divBdr>
    </w:div>
    <w:div w:id="1952319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DeMarco@MullicaTownship.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Dstollenwerk@mullicatownshi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outhjersey.com/article/6456/AmatolThe-Town" TargetMode="External"/><Relationship Id="rId2" Type="http://schemas.openxmlformats.org/officeDocument/2006/relationships/hyperlink" Target="https://www.evfc160.com/main/article.php/20091126130120878" TargetMode="External"/><Relationship Id="rId1" Type="http://schemas.openxmlformats.org/officeDocument/2006/relationships/hyperlink" Target="https://www.nass.usda.gov/Publications/AgCensus/2022/Online_Resources/County_Profiles/New_Jersey/cp34001.pdf" TargetMode="External"/><Relationship Id="rId5" Type="http://schemas.openxmlformats.org/officeDocument/2006/relationships/hyperlink" Target="https://mullicatownship.org/wp-content/uploads/2025/03/CY-2025-User-Friendly-Budget.pdf" TargetMode="External"/><Relationship Id="rId4" Type="http://schemas.openxmlformats.org/officeDocument/2006/relationships/hyperlink" Target="https://storymaps.arcgis.com/stories/5324ae03e84849ac903fca68edcaef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amp;A\Templates\Letters%20Memos%20Transmittals\Letter%20H&amp;A.dotm" TargetMode="External"/></Relationships>
</file>

<file path=word/theme/theme1.xml><?xml version="1.0" encoding="utf-8"?>
<a:theme xmlns:a="http://schemas.openxmlformats.org/drawingml/2006/main" name="HA">
  <a:themeElements>
    <a:clrScheme name="Haley Aldrich">
      <a:dk1>
        <a:srgbClr val="59534D"/>
      </a:dk1>
      <a:lt1>
        <a:sysClr val="window" lastClr="FFFFFF"/>
      </a:lt1>
      <a:dk2>
        <a:srgbClr val="000000"/>
      </a:dk2>
      <a:lt2>
        <a:srgbClr val="E0DBD6"/>
      </a:lt2>
      <a:accent1>
        <a:srgbClr val="34B5D0"/>
      </a:accent1>
      <a:accent2>
        <a:srgbClr val="5A8E22"/>
      </a:accent2>
      <a:accent3>
        <a:srgbClr val="007DA4"/>
      </a:accent3>
      <a:accent4>
        <a:srgbClr val="776F67"/>
      </a:accent4>
      <a:accent5>
        <a:srgbClr val="165C7D"/>
      </a:accent5>
      <a:accent6>
        <a:srgbClr val="A2AD00"/>
      </a:accent6>
      <a:hlink>
        <a:srgbClr val="34B5D0"/>
      </a:hlink>
      <a:folHlink>
        <a:srgbClr val="9F958A"/>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lumMod val="75000"/>
            </a:schemeClr>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noAutofit/>
      </a:bodyPr>
      <a:lstStyle>
        <a:defPPr>
          <a:lnSpc>
            <a:spcPct val="90000"/>
          </a:lnSpc>
          <a:buSzPct val="80000"/>
          <a:defRPr/>
        </a:defPPr>
      </a:lstStyle>
    </a:txDef>
  </a:objectDefaults>
  <a:extraClrSchemeLst/>
  <a:custClrLst>
    <a:custClr name="R214 G73 B42">
      <a:srgbClr val="D6492A"/>
    </a:custClr>
    <a:custClr name="R250 G148 B62">
      <a:srgbClr val="FA943E"/>
    </a:custClr>
    <a:custClr name="R236 G222 B41">
      <a:srgbClr val="ECDE29"/>
    </a:custClr>
    <a:custClr name="R214 G212 B174">
      <a:srgbClr val="D6D4AE"/>
    </a:custClr>
    <a:custClr name="R169 G163 B155">
      <a:srgbClr val="A9A39B"/>
    </a:custClr>
    <a:custClr name="R204 G199 B192">
      <a:srgbClr val="CCC7C0"/>
    </a:custClr>
    <a:custClr name="R88 B61 B62">
      <a:srgbClr val="583D3E"/>
    </a:custClr>
    <a:custClr name="R75 G71 B26">
      <a:srgbClr val="4B471A"/>
    </a:custClr>
  </a:custClrLst>
  <a:extLst>
    <a:ext uri="{05A4C25C-085E-4340-85A3-A5531E510DB2}">
      <thm15:themeFamily xmlns:thm15="http://schemas.microsoft.com/office/thememl/2012/main" name="HA" id="{8F5981D2-4D3B-484A-999E-E74BC27C2B9A}" vid="{C8DFC76F-D72D-4EC7-B81F-C023EA8364C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617D9365AA54085DF1247F6D17751" ma:contentTypeVersion="11" ma:contentTypeDescription="Create a new document." ma:contentTypeScope="" ma:versionID="50f4711d4ab33bc8754ec7dc85e7cfa7">
  <xsd:schema xmlns:xsd="http://www.w3.org/2001/XMLSchema" xmlns:xs="http://www.w3.org/2001/XMLSchema" xmlns:p="http://schemas.microsoft.com/office/2006/metadata/properties" xmlns:ns2="7817dc7d-94bd-49f8-b73c-a5e1668c3970" xmlns:ns3="9a30fcc6-0bf1-4648-9769-8790f6e6b293" targetNamespace="http://schemas.microsoft.com/office/2006/metadata/properties" ma:root="true" ma:fieldsID="8ecb4291466cea1442eddfe1aad575a3" ns2:_="" ns3:_="">
    <xsd:import namespace="7817dc7d-94bd-49f8-b73c-a5e1668c3970"/>
    <xsd:import namespace="9a30fcc6-0bf1-4648-9769-8790f6e6b2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7dc7d-94bd-49f8-b73c-a5e1668c3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be6624-1ade-4620-87e4-174dfd0aa4f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0fcc6-0bf1-4648-9769-8790f6e6b2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438d7-f5e0-4361-a84b-6bbd7183458a}" ma:internalName="TaxCatchAll" ma:showField="CatchAllData" ma:web="9a30fcc6-0bf1-4648-9769-8790f6e6b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29617D9365AA54085DF1247F6D17751" ma:contentTypeVersion="11" ma:contentTypeDescription="Create a new document." ma:contentTypeScope="" ma:versionID="50f4711d4ab33bc8754ec7dc85e7cfa7">
  <xsd:schema xmlns:xsd="http://www.w3.org/2001/XMLSchema" xmlns:xs="http://www.w3.org/2001/XMLSchema" xmlns:p="http://schemas.microsoft.com/office/2006/metadata/properties" xmlns:ns2="7817dc7d-94bd-49f8-b73c-a5e1668c3970" xmlns:ns3="9a30fcc6-0bf1-4648-9769-8790f6e6b293" targetNamespace="http://schemas.microsoft.com/office/2006/metadata/properties" ma:root="true" ma:fieldsID="8ecb4291466cea1442eddfe1aad575a3" ns2:_="" ns3:_="">
    <xsd:import namespace="7817dc7d-94bd-49f8-b73c-a5e1668c3970"/>
    <xsd:import namespace="9a30fcc6-0bf1-4648-9769-8790f6e6b2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7dc7d-94bd-49f8-b73c-a5e1668c3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be6624-1ade-4620-87e4-174dfd0aa4f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0fcc6-0bf1-4648-9769-8790f6e6b2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438d7-f5e0-4361-a84b-6bbd7183458a}" ma:internalName="TaxCatchAll" ma:showField="CatchAllData" ma:web="9a30fcc6-0bf1-4648-9769-8790f6e6b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817dc7d-94bd-49f8-b73c-a5e1668c3970">
      <Terms xmlns="http://schemas.microsoft.com/office/infopath/2007/PartnerControls"/>
    </lcf76f155ced4ddcb4097134ff3c332f>
    <TaxCatchAll xmlns="9a30fcc6-0bf1-4648-9769-8790f6e6b293" xsi:nil="true"/>
  </documentManagement>
</p:properties>
</file>

<file path=customXml/itemProps1.xml><?xml version="1.0" encoding="utf-8"?>
<ds:datastoreItem xmlns:ds="http://schemas.openxmlformats.org/officeDocument/2006/customXml" ds:itemID="{81B261F4-DFBE-4786-A157-DB67014CA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7dc7d-94bd-49f8-b73c-a5e1668c3970"/>
    <ds:schemaRef ds:uri="9a30fcc6-0bf1-4648-9769-8790f6e6b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D1DD1-CA3E-4277-9879-43B3EC2C0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7dc7d-94bd-49f8-b73c-a5e1668c3970"/>
    <ds:schemaRef ds:uri="9a30fcc6-0bf1-4648-9769-8790f6e6b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F3FBC-65FB-452D-A84A-337EB9D8922D}">
  <ds:schemaRefs>
    <ds:schemaRef ds:uri="http://schemas.microsoft.com/sharepoint/v3/contenttype/forms"/>
  </ds:schemaRefs>
</ds:datastoreItem>
</file>

<file path=customXml/itemProps4.xml><?xml version="1.0" encoding="utf-8"?>
<ds:datastoreItem xmlns:ds="http://schemas.openxmlformats.org/officeDocument/2006/customXml" ds:itemID="{6EA6FC53-9DE2-4CEB-9CD2-97E822CF5E84}">
  <ds:schemaRefs>
    <ds:schemaRef ds:uri="http://schemas.openxmlformats.org/officeDocument/2006/bibliography"/>
  </ds:schemaRefs>
</ds:datastoreItem>
</file>

<file path=customXml/itemProps5.xml><?xml version="1.0" encoding="utf-8"?>
<ds:datastoreItem xmlns:ds="http://schemas.openxmlformats.org/officeDocument/2006/customXml" ds:itemID="{C4EE101A-C918-4260-A5F3-3CE7E80C558C}">
  <ds:schemaRefs>
    <ds:schemaRef ds:uri="http://schemas.microsoft.com/office/2006/metadata/properties"/>
    <ds:schemaRef ds:uri="http://schemas.microsoft.com/office/infopath/2007/PartnerControls"/>
    <ds:schemaRef ds:uri="7817dc7d-94bd-49f8-b73c-a5e1668c3970"/>
    <ds:schemaRef ds:uri="9a30fcc6-0bf1-4648-9769-8790f6e6b293"/>
  </ds:schemaRefs>
</ds:datastoreItem>
</file>

<file path=docProps/app.xml><?xml version="1.0" encoding="utf-8"?>
<Properties xmlns="http://schemas.openxmlformats.org/officeDocument/2006/extended-properties" xmlns:vt="http://schemas.openxmlformats.org/officeDocument/2006/docPropsVTypes">
  <Template>Letter H&amp;A</Template>
  <TotalTime>4650</TotalTime>
  <Pages>12</Pages>
  <Words>6481</Words>
  <Characters>39370</Characters>
  <Application>Microsoft Office Word</Application>
  <DocSecurity>0</DocSecurity>
  <Lines>787</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46187</CharactersWithSpaces>
  <SharedDoc>false</SharedDoc>
  <HLinks>
    <vt:vector size="66" baseType="variant">
      <vt:variant>
        <vt:i4>1966113</vt:i4>
      </vt:variant>
      <vt:variant>
        <vt:i4>3</vt:i4>
      </vt:variant>
      <vt:variant>
        <vt:i4>0</vt:i4>
      </vt:variant>
      <vt:variant>
        <vt:i4>5</vt:i4>
      </vt:variant>
      <vt:variant>
        <vt:lpwstr>mailto:DDeMarco@MullicaTownship.org</vt:lpwstr>
      </vt:variant>
      <vt:variant>
        <vt:lpwstr/>
      </vt:variant>
      <vt:variant>
        <vt:i4>65573</vt:i4>
      </vt:variant>
      <vt:variant>
        <vt:i4>0</vt:i4>
      </vt:variant>
      <vt:variant>
        <vt:i4>0</vt:i4>
      </vt:variant>
      <vt:variant>
        <vt:i4>5</vt:i4>
      </vt:variant>
      <vt:variant>
        <vt:lpwstr>mailto:Dstollenwerk@mullicatownship.org</vt:lpwstr>
      </vt:variant>
      <vt:variant>
        <vt:lpwstr/>
      </vt:variant>
      <vt:variant>
        <vt:i4>3080309</vt:i4>
      </vt:variant>
      <vt:variant>
        <vt:i4>3</vt:i4>
      </vt:variant>
      <vt:variant>
        <vt:i4>0</vt:i4>
      </vt:variant>
      <vt:variant>
        <vt:i4>5</vt:i4>
      </vt:variant>
      <vt:variant>
        <vt:lpwstr>https://mullicatownship.org/wp-content/uploads/2025/03/CY-2025-User-Friendly-Budget.pdf</vt:lpwstr>
      </vt:variant>
      <vt:variant>
        <vt:lpwstr/>
      </vt:variant>
      <vt:variant>
        <vt:i4>7471157</vt:i4>
      </vt:variant>
      <vt:variant>
        <vt:i4>0</vt:i4>
      </vt:variant>
      <vt:variant>
        <vt:i4>0</vt:i4>
      </vt:variant>
      <vt:variant>
        <vt:i4>5</vt:i4>
      </vt:variant>
      <vt:variant>
        <vt:lpwstr>https://www.evfc160.com/main/article.php/20091126130120878</vt:lpwstr>
      </vt:variant>
      <vt:variant>
        <vt:lpwstr>:~:text=For%20anyone%20familiar%20with%20the,on%20the%20White%20Horse%20Pike.</vt:lpwstr>
      </vt:variant>
      <vt:variant>
        <vt:i4>1441859</vt:i4>
      </vt:variant>
      <vt:variant>
        <vt:i4>18</vt:i4>
      </vt:variant>
      <vt:variant>
        <vt:i4>0</vt:i4>
      </vt:variant>
      <vt:variant>
        <vt:i4>5</vt:i4>
      </vt:variant>
      <vt:variant>
        <vt:lpwstr>https://www.atsdr.cdc.gov/place-health/php/eji/eji-explorer.html</vt:lpwstr>
      </vt:variant>
      <vt:variant>
        <vt:lpwstr/>
      </vt:variant>
      <vt:variant>
        <vt:i4>3080309</vt:i4>
      </vt:variant>
      <vt:variant>
        <vt:i4>15</vt:i4>
      </vt:variant>
      <vt:variant>
        <vt:i4>0</vt:i4>
      </vt:variant>
      <vt:variant>
        <vt:i4>5</vt:i4>
      </vt:variant>
      <vt:variant>
        <vt:lpwstr>https://mullicatownship.org/wp-content/uploads/2025/03/CY-2025-User-Friendly-Budget.pdf</vt:lpwstr>
      </vt:variant>
      <vt:variant>
        <vt:lpwstr/>
      </vt:variant>
      <vt:variant>
        <vt:i4>4325447</vt:i4>
      </vt:variant>
      <vt:variant>
        <vt:i4>12</vt:i4>
      </vt:variant>
      <vt:variant>
        <vt:i4>0</vt:i4>
      </vt:variant>
      <vt:variant>
        <vt:i4>5</vt:i4>
      </vt:variant>
      <vt:variant>
        <vt:lpwstr>https://www.njconservation.org/jones-road-wildfire/</vt:lpwstr>
      </vt:variant>
      <vt:variant>
        <vt:lpwstr>:~:text=The%20second%20largest%20New%20Jersey,and%20no%20houses%20were%20destroyed.</vt:lpwstr>
      </vt:variant>
      <vt:variant>
        <vt:i4>1179673</vt:i4>
      </vt:variant>
      <vt:variant>
        <vt:i4>9</vt:i4>
      </vt:variant>
      <vt:variant>
        <vt:i4>0</vt:i4>
      </vt:variant>
      <vt:variant>
        <vt:i4>5</vt:i4>
      </vt:variant>
      <vt:variant>
        <vt:lpwstr>https://storymaps.arcgis.com/stories/5324ae03e84849ac903fca68edcaef62</vt:lpwstr>
      </vt:variant>
      <vt:variant>
        <vt:lpwstr/>
      </vt:variant>
      <vt:variant>
        <vt:i4>1572881</vt:i4>
      </vt:variant>
      <vt:variant>
        <vt:i4>6</vt:i4>
      </vt:variant>
      <vt:variant>
        <vt:i4>0</vt:i4>
      </vt:variant>
      <vt:variant>
        <vt:i4>5</vt:i4>
      </vt:variant>
      <vt:variant>
        <vt:lpwstr>https://www.sciencedirect.com/science/article/pii/S0048969722053049</vt:lpwstr>
      </vt:variant>
      <vt:variant>
        <vt:lpwstr>:~:text=The%20percent%20of%20altered%20land,1;%20NJDEP%2C%202015).</vt:lpwstr>
      </vt:variant>
      <vt:variant>
        <vt:i4>786510</vt:i4>
      </vt:variant>
      <vt:variant>
        <vt:i4>3</vt:i4>
      </vt:variant>
      <vt:variant>
        <vt:i4>0</vt:i4>
      </vt:variant>
      <vt:variant>
        <vt:i4>5</vt:i4>
      </vt:variant>
      <vt:variant>
        <vt:lpwstr>https://onthemap.ces.census.gov/</vt:lpwstr>
      </vt:variant>
      <vt:variant>
        <vt:lpwstr/>
      </vt:variant>
      <vt:variant>
        <vt:i4>5570602</vt:i4>
      </vt:variant>
      <vt:variant>
        <vt:i4>0</vt:i4>
      </vt:variant>
      <vt:variant>
        <vt:i4>0</vt:i4>
      </vt:variant>
      <vt:variant>
        <vt:i4>5</vt:i4>
      </vt:variant>
      <vt:variant>
        <vt:lpwstr>https://www.nass.usda.gov/Publications/AgCensus/2022/Online_Resources/County_Profiles/New_Jersey/cp34001.pdf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Hebe</dc:creator>
  <cp:keywords/>
  <dc:description/>
  <cp:lastModifiedBy>Rojewski, Lauren</cp:lastModifiedBy>
  <cp:revision>1133</cp:revision>
  <dcterms:created xsi:type="dcterms:W3CDTF">2026-01-19T00:32:00Z</dcterms:created>
  <dcterms:modified xsi:type="dcterms:W3CDTF">2026-01-27T13:19:00Z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0x010100529617D9365AA54085DF1247F6D17751</vt:lpwstr>
  </property>
  <property fmtid="{D5CDD505-2E9C-101B-9397-08002B2CF9AE}" pid="3" name="MediaServiceImageTags">
    <vt:lpwstr/>
  </property>
  <property fmtid="{D5CDD505-2E9C-101B-9397-08002B2CF9AE}" pid="4" name="GrammarlyDocumentId">
    <vt:lpwstr>ce14a21a-c3a1-4bf2-8401-f036eedffa55</vt:lpwstr>
  </property>
</Properties>
</file>